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DE6" w:rsidRDefault="00E26DE6">
      <w:pPr>
        <w:tabs>
          <w:tab w:val="left" w:pos="540"/>
          <w:tab w:val="left" w:pos="4320"/>
        </w:tabs>
        <w:rPr>
          <w:rFonts w:ascii="Times New Roman" w:hAnsi="Times New Roman"/>
        </w:rPr>
      </w:pPr>
      <w:bookmarkStart w:id="0" w:name="_GoBack"/>
      <w:bookmarkEnd w:id="0"/>
    </w:p>
    <w:p w:rsidR="007C30B4" w:rsidRDefault="00D9711B" w:rsidP="007C30B4">
      <w:pPr>
        <w:jc w:val="center"/>
        <w:rPr>
          <w:b/>
        </w:rPr>
      </w:pPr>
      <w:r>
        <w:rPr>
          <w:b/>
        </w:rPr>
        <w:t>DARTMOUTH-HITCHCOCK</w:t>
      </w:r>
      <w:r w:rsidR="004322F9">
        <w:rPr>
          <w:b/>
        </w:rPr>
        <w:t xml:space="preserve">’S </w:t>
      </w:r>
      <w:r w:rsidR="007C30B4" w:rsidRPr="00A3739A">
        <w:rPr>
          <w:b/>
        </w:rPr>
        <w:t xml:space="preserve">POLICY ON THE REFUSAL/FAILURE TO DISCLOSE OR </w:t>
      </w:r>
      <w:r w:rsidR="000F539F">
        <w:rPr>
          <w:b/>
        </w:rPr>
        <w:t>RESOLVE PERSONAL RELEVANT FINAN</w:t>
      </w:r>
      <w:r w:rsidR="007C30B4" w:rsidRPr="00A3739A">
        <w:rPr>
          <w:b/>
        </w:rPr>
        <w:t>CIAL RELATIONSHIP</w:t>
      </w:r>
      <w:r w:rsidR="007D3DD1">
        <w:rPr>
          <w:b/>
        </w:rPr>
        <w:t>S WITH INDUSTRY</w:t>
      </w:r>
      <w:r w:rsidR="004322F9">
        <w:rPr>
          <w:b/>
        </w:rPr>
        <w:t xml:space="preserve"> BY AN ACTIVITY</w:t>
      </w:r>
      <w:r w:rsidR="007C30B4" w:rsidRPr="00A3739A">
        <w:rPr>
          <w:b/>
        </w:rPr>
        <w:t xml:space="preserve"> DIRECTOR, PLANNING COMMITTEE MEMBER, SPEAKER, AUTHOR OR OTHER INDIVIDUAL IN A POSITION TO CONTROL CONTENT OF ACCREDITED CME OR CNE ACTIVITY</w:t>
      </w:r>
    </w:p>
    <w:p w:rsidR="007C30B4" w:rsidRDefault="007C30B4" w:rsidP="007C30B4">
      <w:pPr>
        <w:rPr>
          <w:i/>
          <w:sz w:val="20"/>
        </w:rPr>
      </w:pPr>
      <w:r>
        <w:rPr>
          <w:b/>
        </w:rPr>
        <w:br/>
      </w:r>
      <w:r w:rsidRPr="00AC13D3">
        <w:rPr>
          <w:i/>
          <w:sz w:val="20"/>
        </w:rPr>
        <w:t>The Dartmouth-Hitchcock Medical Center (DHMC) constituent organizations - Dartmouth-Hitchcock Clinic (DHC), Mary Hitchcock Memorial Hospital (MHMH), Veterans Administration Medical Center (VAMC), and Dartmouth Medical School (DMS) -  are committed to providing Continuing Medical Education (CME) and Continuing Nursing Education (CNE) activities that are linked to quality and safety, are effective in improving medical and nursing practice, are based on valid content, and are independent of commercial interests.  Our CME and CNE accredited activities are for scientific and educational purposes only and will in no way promote products and services of commercial interests either in content or selection of topics.</w:t>
      </w:r>
    </w:p>
    <w:p w:rsidR="007C30B4" w:rsidRPr="00AC13D3" w:rsidRDefault="007C30B4" w:rsidP="007C30B4">
      <w:pPr>
        <w:rPr>
          <w:i/>
          <w:sz w:val="20"/>
        </w:rPr>
      </w:pPr>
    </w:p>
    <w:p w:rsidR="007C30B4" w:rsidRDefault="007C30B4" w:rsidP="007C30B4">
      <w:pPr>
        <w:rPr>
          <w:szCs w:val="24"/>
        </w:rPr>
      </w:pPr>
      <w:r w:rsidRPr="00D36744">
        <w:rPr>
          <w:szCs w:val="24"/>
        </w:rPr>
        <w:t>A</w:t>
      </w:r>
      <w:r w:rsidR="004322F9">
        <w:rPr>
          <w:szCs w:val="24"/>
        </w:rPr>
        <w:t xml:space="preserve">n activity or regularly scheduled series (RSS) </w:t>
      </w:r>
      <w:r w:rsidRPr="00D36744">
        <w:rPr>
          <w:szCs w:val="24"/>
        </w:rPr>
        <w:t xml:space="preserve">director, planning committee member, speaker, author or </w:t>
      </w:r>
      <w:r>
        <w:rPr>
          <w:szCs w:val="24"/>
        </w:rPr>
        <w:t>other individual</w:t>
      </w:r>
      <w:r w:rsidRPr="00D36744">
        <w:rPr>
          <w:szCs w:val="24"/>
        </w:rPr>
        <w:t xml:space="preserve"> in a position to control content of a DHMC</w:t>
      </w:r>
      <w:r w:rsidR="004322F9">
        <w:rPr>
          <w:szCs w:val="24"/>
        </w:rPr>
        <w:t xml:space="preserve"> certified</w:t>
      </w:r>
      <w:r>
        <w:rPr>
          <w:szCs w:val="24"/>
        </w:rPr>
        <w:t xml:space="preserve"> continuing medical (CME) or continuing nursing (CNE) education</w:t>
      </w:r>
      <w:r w:rsidRPr="00D36744">
        <w:rPr>
          <w:szCs w:val="24"/>
        </w:rPr>
        <w:t xml:space="preserve"> activity who refuses to disclose </w:t>
      </w:r>
      <w:r>
        <w:rPr>
          <w:szCs w:val="24"/>
        </w:rPr>
        <w:t xml:space="preserve">personal, </w:t>
      </w:r>
      <w:r w:rsidRPr="00D36744">
        <w:rPr>
          <w:szCs w:val="24"/>
        </w:rPr>
        <w:t>relevant financial relationships</w:t>
      </w:r>
      <w:r w:rsidR="007D3DD1">
        <w:rPr>
          <w:szCs w:val="24"/>
        </w:rPr>
        <w:t xml:space="preserve"> with industry </w:t>
      </w:r>
      <w:r w:rsidRPr="00D36744">
        <w:rPr>
          <w:szCs w:val="24"/>
        </w:rPr>
        <w:t xml:space="preserve"> </w:t>
      </w:r>
      <w:r>
        <w:rPr>
          <w:szCs w:val="24"/>
        </w:rPr>
        <w:t>in advance of the activity</w:t>
      </w:r>
      <w:r w:rsidR="007D3DD1">
        <w:rPr>
          <w:szCs w:val="24"/>
        </w:rPr>
        <w:t xml:space="preserve"> or program</w:t>
      </w:r>
      <w:r>
        <w:rPr>
          <w:szCs w:val="24"/>
        </w:rPr>
        <w:t>, or to cooperate in the resolution of a personal conflict of interest by th</w:t>
      </w:r>
      <w:r w:rsidR="004322F9">
        <w:rPr>
          <w:szCs w:val="24"/>
        </w:rPr>
        <w:t>e Activity or RSS</w:t>
      </w:r>
      <w:r>
        <w:rPr>
          <w:szCs w:val="24"/>
        </w:rPr>
        <w:t xml:space="preserve"> Director or designate/qualified other, </w:t>
      </w:r>
      <w:r w:rsidRPr="00D36744">
        <w:rPr>
          <w:szCs w:val="24"/>
        </w:rPr>
        <w:t>will be disqualified from development, management, presen</w:t>
      </w:r>
      <w:r w:rsidR="004322F9">
        <w:rPr>
          <w:szCs w:val="24"/>
        </w:rPr>
        <w:t xml:space="preserve">tation or evaluation of the CME or </w:t>
      </w:r>
      <w:r w:rsidRPr="00D36744">
        <w:rPr>
          <w:szCs w:val="24"/>
        </w:rPr>
        <w:t>CNE activity.</w:t>
      </w:r>
    </w:p>
    <w:p w:rsidR="007C30B4" w:rsidRPr="00D36744" w:rsidRDefault="007C30B4" w:rsidP="007C30B4">
      <w:pPr>
        <w:rPr>
          <w:szCs w:val="24"/>
        </w:rPr>
      </w:pPr>
    </w:p>
    <w:p w:rsidR="007C30B4" w:rsidRDefault="007C30B4" w:rsidP="007C30B4">
      <w:pPr>
        <w:rPr>
          <w:szCs w:val="24"/>
        </w:rPr>
      </w:pPr>
      <w:r>
        <w:rPr>
          <w:szCs w:val="24"/>
        </w:rPr>
        <w:t>Specifically, f</w:t>
      </w:r>
      <w:r w:rsidRPr="00D36744">
        <w:rPr>
          <w:szCs w:val="24"/>
        </w:rPr>
        <w:t xml:space="preserve">ailure to disclose </w:t>
      </w:r>
      <w:r w:rsidRPr="00A3739A">
        <w:rPr>
          <w:szCs w:val="24"/>
        </w:rPr>
        <w:t xml:space="preserve">by not completing, signing and returning the </w:t>
      </w:r>
      <w:r w:rsidR="004322F9">
        <w:rPr>
          <w:i/>
          <w:szCs w:val="24"/>
        </w:rPr>
        <w:t>DHMC</w:t>
      </w:r>
      <w:r w:rsidRPr="00A3739A">
        <w:rPr>
          <w:i/>
          <w:szCs w:val="24"/>
        </w:rPr>
        <w:t xml:space="preserve"> COI Policy and COI Resolution Form</w:t>
      </w:r>
      <w:r>
        <w:rPr>
          <w:i/>
          <w:szCs w:val="24"/>
        </w:rPr>
        <w:t xml:space="preserve"> </w:t>
      </w:r>
      <w:r w:rsidRPr="00DD5FCD">
        <w:rPr>
          <w:szCs w:val="24"/>
        </w:rPr>
        <w:t>or</w:t>
      </w:r>
      <w:r>
        <w:rPr>
          <w:szCs w:val="24"/>
        </w:rPr>
        <w:t xml:space="preserve"> by</w:t>
      </w:r>
      <w:r w:rsidRPr="00DD5FCD">
        <w:rPr>
          <w:szCs w:val="24"/>
        </w:rPr>
        <w:t xml:space="preserve"> withholding complete information</w:t>
      </w:r>
      <w:r>
        <w:rPr>
          <w:szCs w:val="24"/>
        </w:rPr>
        <w:t>,</w:t>
      </w:r>
      <w:r w:rsidRPr="00A3739A">
        <w:rPr>
          <w:szCs w:val="24"/>
        </w:rPr>
        <w:t xml:space="preserve"> in advance of the activity</w:t>
      </w:r>
      <w:r>
        <w:rPr>
          <w:szCs w:val="24"/>
        </w:rPr>
        <w:t>, shall constitute a refusal to disclose and therefore require disqualification from the activity.</w:t>
      </w:r>
    </w:p>
    <w:p w:rsidR="007C30B4" w:rsidRDefault="007C30B4" w:rsidP="007C30B4">
      <w:pPr>
        <w:rPr>
          <w:szCs w:val="24"/>
        </w:rPr>
      </w:pPr>
    </w:p>
    <w:p w:rsidR="007C30B4" w:rsidRDefault="007C30B4" w:rsidP="007C30B4">
      <w:pPr>
        <w:rPr>
          <w:b/>
          <w:szCs w:val="24"/>
        </w:rPr>
      </w:pPr>
      <w:r>
        <w:rPr>
          <w:b/>
          <w:szCs w:val="24"/>
        </w:rPr>
        <w:t xml:space="preserve">A speaker or any individual in a position to control content will be disqualified if s/he fails to disclose prior to the activity in </w:t>
      </w:r>
      <w:r w:rsidR="004322F9">
        <w:rPr>
          <w:b/>
          <w:szCs w:val="24"/>
        </w:rPr>
        <w:t>such a way as to give the Activity or RSS</w:t>
      </w:r>
      <w:r>
        <w:rPr>
          <w:b/>
          <w:szCs w:val="24"/>
        </w:rPr>
        <w:t xml:space="preserve"> Director or designate/qualified other adequate time for review, particularly when resolution is necessary.</w:t>
      </w:r>
    </w:p>
    <w:p w:rsidR="007C30B4" w:rsidRPr="00030780" w:rsidRDefault="007C30B4" w:rsidP="007C30B4">
      <w:pPr>
        <w:rPr>
          <w:b/>
          <w:szCs w:val="24"/>
        </w:rPr>
      </w:pPr>
    </w:p>
    <w:p w:rsidR="007C30B4" w:rsidRDefault="007C30B4" w:rsidP="007C30B4">
      <w:pPr>
        <w:rPr>
          <w:szCs w:val="24"/>
        </w:rPr>
      </w:pPr>
      <w:r>
        <w:rPr>
          <w:szCs w:val="24"/>
        </w:rPr>
        <w:t>When refusal or failure to disclose (and subsequently to enable resolution) takes place p</w:t>
      </w:r>
      <w:r w:rsidR="004322F9">
        <w:rPr>
          <w:szCs w:val="24"/>
        </w:rPr>
        <w:t>rior to the activity, the Activity or RSS</w:t>
      </w:r>
      <w:r>
        <w:rPr>
          <w:szCs w:val="24"/>
        </w:rPr>
        <w:t xml:space="preserve"> Director should complete and sign page 2 of the </w:t>
      </w:r>
      <w:r w:rsidR="004322F9">
        <w:rPr>
          <w:i/>
          <w:szCs w:val="24"/>
        </w:rPr>
        <w:t xml:space="preserve">DHMC </w:t>
      </w:r>
      <w:r w:rsidRPr="00A3739A">
        <w:rPr>
          <w:i/>
          <w:szCs w:val="24"/>
        </w:rPr>
        <w:t>COI Policy and COI Resolution Form</w:t>
      </w:r>
      <w:r>
        <w:rPr>
          <w:szCs w:val="24"/>
        </w:rPr>
        <w:t>, option #4 which reads, “Disqualifying the planning committee member, speaker, author, or others in a position to control content: individuals who refuse to disclose relevant financial relationships will be disqualified from the development, management, pres</w:t>
      </w:r>
      <w:r w:rsidR="004322F9">
        <w:rPr>
          <w:szCs w:val="24"/>
        </w:rPr>
        <w:t xml:space="preserve">entation or evaluation of a CME or </w:t>
      </w:r>
      <w:r>
        <w:rPr>
          <w:szCs w:val="24"/>
        </w:rPr>
        <w:t>CNE activity.”</w:t>
      </w:r>
    </w:p>
    <w:p w:rsidR="007C30B4" w:rsidRDefault="007C30B4" w:rsidP="007C30B4">
      <w:pPr>
        <w:rPr>
          <w:szCs w:val="24"/>
        </w:rPr>
      </w:pPr>
    </w:p>
    <w:p w:rsidR="00E26DE6" w:rsidRDefault="007C30B4" w:rsidP="007C30B4">
      <w:pPr>
        <w:tabs>
          <w:tab w:val="left" w:pos="540"/>
          <w:tab w:val="left" w:pos="4320"/>
        </w:tabs>
        <w:rPr>
          <w:rFonts w:ascii="Times New Roman" w:hAnsi="Times New Roman"/>
        </w:rPr>
      </w:pPr>
      <w:r w:rsidRPr="00D36744">
        <w:rPr>
          <w:szCs w:val="24"/>
        </w:rPr>
        <w:t xml:space="preserve">Adopted: </w:t>
      </w:r>
      <w:r>
        <w:rPr>
          <w:szCs w:val="24"/>
        </w:rPr>
        <w:t>M</w:t>
      </w:r>
      <w:r w:rsidR="004322F9">
        <w:rPr>
          <w:szCs w:val="24"/>
        </w:rPr>
        <w:t>arch 2006</w:t>
      </w:r>
      <w:r w:rsidR="004322F9">
        <w:rPr>
          <w:szCs w:val="24"/>
        </w:rPr>
        <w:br/>
        <w:t xml:space="preserve">Revised 2008, </w:t>
      </w:r>
      <w:r>
        <w:rPr>
          <w:szCs w:val="24"/>
        </w:rPr>
        <w:t>2009</w:t>
      </w:r>
      <w:r w:rsidR="004322F9">
        <w:rPr>
          <w:szCs w:val="24"/>
        </w:rPr>
        <w:t>, 2010</w:t>
      </w:r>
    </w:p>
    <w:p w:rsidR="00E26DE6" w:rsidRPr="00BA2E80" w:rsidRDefault="00E26DE6">
      <w:pPr>
        <w:tabs>
          <w:tab w:val="left" w:pos="540"/>
          <w:tab w:val="left" w:pos="4320"/>
        </w:tabs>
        <w:rPr>
          <w:rFonts w:ascii="Times New Roman" w:hAnsi="Times New Roman"/>
          <w:sz w:val="22"/>
          <w:szCs w:val="22"/>
        </w:rPr>
      </w:pPr>
    </w:p>
    <w:sectPr w:rsidR="00E26DE6" w:rsidRPr="00BA2E80" w:rsidSect="008B50D1">
      <w:headerReference w:type="default" r:id="rId7"/>
      <w:pgSz w:w="12240" w:h="15840"/>
      <w:pgMar w:top="1440" w:right="810" w:bottom="720" w:left="630" w:header="45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7B5" w:rsidRDefault="00B447B5">
      <w:r>
        <w:separator/>
      </w:r>
    </w:p>
  </w:endnote>
  <w:endnote w:type="continuationSeparator" w:id="0">
    <w:p w:rsidR="00B447B5" w:rsidRDefault="00B4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7B5" w:rsidRDefault="00B447B5">
      <w:r>
        <w:separator/>
      </w:r>
    </w:p>
  </w:footnote>
  <w:footnote w:type="continuationSeparator" w:id="0">
    <w:p w:rsidR="00B447B5" w:rsidRDefault="00B44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7B5" w:rsidRDefault="004D2736" w:rsidP="006A6980">
    <w:pPr>
      <w:pStyle w:val="Header"/>
      <w:tabs>
        <w:tab w:val="clear" w:pos="8640"/>
        <w:tab w:val="left" w:pos="6645"/>
      </w:tabs>
    </w:pPr>
    <w:r>
      <w:rPr>
        <w:noProof/>
      </w:rPr>
      <mc:AlternateContent>
        <mc:Choice Requires="wps">
          <w:drawing>
            <wp:anchor distT="0" distB="0" distL="114300" distR="114300" simplePos="0" relativeHeight="251657728" behindDoc="0" locked="0" layoutInCell="1" allowOverlap="1">
              <wp:simplePos x="0" y="0"/>
              <wp:positionH relativeFrom="column">
                <wp:posOffset>4352925</wp:posOffset>
              </wp:positionH>
              <wp:positionV relativeFrom="paragraph">
                <wp:posOffset>-42545</wp:posOffset>
              </wp:positionV>
              <wp:extent cx="2743200" cy="79184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736" w:rsidRPr="006A6980" w:rsidRDefault="004D2736" w:rsidP="004D2736">
                          <w:pPr>
                            <w:jc w:val="right"/>
                            <w:rPr>
                              <w:sz w:val="16"/>
                              <w:szCs w:val="16"/>
                            </w:rPr>
                          </w:pPr>
                          <w:r w:rsidRPr="006A6980">
                            <w:rPr>
                              <w:sz w:val="16"/>
                              <w:szCs w:val="16"/>
                            </w:rPr>
                            <w:t>One Medical Center Drive</w:t>
                          </w:r>
                        </w:p>
                        <w:p w:rsidR="004D2736" w:rsidRPr="006A6980" w:rsidRDefault="004D2736" w:rsidP="004D2736">
                          <w:pPr>
                            <w:jc w:val="right"/>
                            <w:rPr>
                              <w:sz w:val="16"/>
                              <w:szCs w:val="16"/>
                            </w:rPr>
                          </w:pPr>
                          <w:r w:rsidRPr="006A6980">
                            <w:rPr>
                              <w:sz w:val="16"/>
                              <w:szCs w:val="16"/>
                            </w:rPr>
                            <w:t>Lebanon, NH 03756</w:t>
                          </w:r>
                        </w:p>
                        <w:p w:rsidR="004D2736" w:rsidRPr="006A6980" w:rsidRDefault="004D2736" w:rsidP="004D2736">
                          <w:pPr>
                            <w:jc w:val="right"/>
                            <w:rPr>
                              <w:sz w:val="16"/>
                              <w:szCs w:val="16"/>
                            </w:rPr>
                          </w:pPr>
                          <w:r w:rsidRPr="006A6980">
                            <w:rPr>
                              <w:sz w:val="16"/>
                              <w:szCs w:val="16"/>
                            </w:rPr>
                            <w:t>Phone: (603) 653-1234</w:t>
                          </w:r>
                        </w:p>
                        <w:p w:rsidR="004D2736" w:rsidRPr="006A6980" w:rsidRDefault="004D2736" w:rsidP="004D2736">
                          <w:pPr>
                            <w:jc w:val="right"/>
                            <w:rPr>
                              <w:sz w:val="16"/>
                              <w:szCs w:val="16"/>
                            </w:rPr>
                          </w:pPr>
                          <w:r>
                            <w:rPr>
                              <w:sz w:val="16"/>
                              <w:szCs w:val="16"/>
                            </w:rPr>
                            <w:t>Fax: (603) 653-6660</w:t>
                          </w:r>
                        </w:p>
                        <w:p w:rsidR="004D2736" w:rsidRPr="006A6980" w:rsidRDefault="004D2736" w:rsidP="004D2736">
                          <w:pPr>
                            <w:jc w:val="right"/>
                            <w:rPr>
                              <w:sz w:val="16"/>
                              <w:szCs w:val="16"/>
                            </w:rPr>
                          </w:pPr>
                          <w:r w:rsidRPr="00A9271B">
                            <w:rPr>
                              <w:sz w:val="16"/>
                              <w:szCs w:val="16"/>
                            </w:rPr>
                            <w:t>http://me</w:t>
                          </w:r>
                          <w:r>
                            <w:rPr>
                              <w:sz w:val="16"/>
                              <w:szCs w:val="16"/>
                            </w:rPr>
                            <w:t>d.dartmouth-hitchcock.org/ccehs</w:t>
                          </w:r>
                        </w:p>
                        <w:p w:rsidR="00B447B5" w:rsidRPr="006A6980" w:rsidRDefault="00B447B5" w:rsidP="006A6980">
                          <w:pPr>
                            <w:jc w:val="right"/>
                            <w:rPr>
                              <w:sz w:val="16"/>
                              <w:szCs w:val="16"/>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2.75pt;margin-top:-3.35pt;width:3in;height:62.3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qWsw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" filled="f" stroked="f">
              <v:textbox style="mso-fit-shape-to-text:t">
                <w:txbxContent>
                  <w:p w:rsidR="004D2736" w:rsidRPr="006A6980" w:rsidRDefault="004D2736" w:rsidP="004D2736">
                    <w:pPr>
                      <w:jc w:val="right"/>
                      <w:rPr>
                        <w:sz w:val="16"/>
                        <w:szCs w:val="16"/>
                      </w:rPr>
                    </w:pPr>
                    <w:r w:rsidRPr="006A6980">
                      <w:rPr>
                        <w:sz w:val="16"/>
                        <w:szCs w:val="16"/>
                      </w:rPr>
                      <w:t>One Medical Center Drive</w:t>
                    </w:r>
                  </w:p>
                  <w:p w:rsidR="004D2736" w:rsidRPr="006A6980" w:rsidRDefault="004D2736" w:rsidP="004D2736">
                    <w:pPr>
                      <w:jc w:val="right"/>
                      <w:rPr>
                        <w:sz w:val="16"/>
                        <w:szCs w:val="16"/>
                      </w:rPr>
                    </w:pPr>
                    <w:r w:rsidRPr="006A6980">
                      <w:rPr>
                        <w:sz w:val="16"/>
                        <w:szCs w:val="16"/>
                      </w:rPr>
                      <w:t>Lebanon, NH 03756</w:t>
                    </w:r>
                  </w:p>
                  <w:p w:rsidR="004D2736" w:rsidRPr="006A6980" w:rsidRDefault="004D2736" w:rsidP="004D2736">
                    <w:pPr>
                      <w:jc w:val="right"/>
                      <w:rPr>
                        <w:sz w:val="16"/>
                        <w:szCs w:val="16"/>
                      </w:rPr>
                    </w:pPr>
                    <w:r w:rsidRPr="006A6980">
                      <w:rPr>
                        <w:sz w:val="16"/>
                        <w:szCs w:val="16"/>
                      </w:rPr>
                      <w:t>Phone: (603) 653-1234</w:t>
                    </w:r>
                  </w:p>
                  <w:p w:rsidR="004D2736" w:rsidRPr="006A6980" w:rsidRDefault="004D2736" w:rsidP="004D2736">
                    <w:pPr>
                      <w:jc w:val="right"/>
                      <w:rPr>
                        <w:sz w:val="16"/>
                        <w:szCs w:val="16"/>
                      </w:rPr>
                    </w:pPr>
                    <w:r>
                      <w:rPr>
                        <w:sz w:val="16"/>
                        <w:szCs w:val="16"/>
                      </w:rPr>
                      <w:t>Fax: (603) 653-6660</w:t>
                    </w:r>
                  </w:p>
                  <w:p w:rsidR="004D2736" w:rsidRPr="006A6980" w:rsidRDefault="004D2736" w:rsidP="004D2736">
                    <w:pPr>
                      <w:jc w:val="right"/>
                      <w:rPr>
                        <w:sz w:val="16"/>
                        <w:szCs w:val="16"/>
                      </w:rPr>
                    </w:pPr>
                    <w:r w:rsidRPr="00A9271B">
                      <w:rPr>
                        <w:sz w:val="16"/>
                        <w:szCs w:val="16"/>
                      </w:rPr>
                      <w:t>http://me</w:t>
                    </w:r>
                    <w:r>
                      <w:rPr>
                        <w:sz w:val="16"/>
                        <w:szCs w:val="16"/>
                      </w:rPr>
                      <w:t>d.dartmouth-hitchcock.org/ccehs</w:t>
                    </w:r>
                  </w:p>
                  <w:p w:rsidR="00B447B5" w:rsidRPr="006A6980" w:rsidRDefault="00B447B5" w:rsidP="006A6980">
                    <w:pPr>
                      <w:jc w:val="right"/>
                      <w:rPr>
                        <w:sz w:val="16"/>
                        <w:szCs w:val="16"/>
                      </w:rPr>
                    </w:pPr>
                  </w:p>
                </w:txbxContent>
              </v:textbox>
            </v:shape>
          </w:pict>
        </mc:Fallback>
      </mc:AlternateContent>
    </w:r>
    <w:r w:rsidR="00C92D8F">
      <w:rPr>
        <w:noProof/>
      </w:rPr>
      <w:drawing>
        <wp:inline distT="0" distB="0" distL="0" distR="0">
          <wp:extent cx="3305175" cy="552450"/>
          <wp:effectExtent l="19050" t="0" r="9525" b="0"/>
          <wp:docPr id="1" name="Picture 1" descr="DHMC-CCEHS-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MC-CCEHS-K copy"/>
                  <pic:cNvPicPr>
                    <a:picLocks noChangeAspect="1" noChangeArrowheads="1"/>
                  </pic:cNvPicPr>
                </pic:nvPicPr>
                <pic:blipFill>
                  <a:blip r:embed="rId1"/>
                  <a:srcRect/>
                  <a:stretch>
                    <a:fillRect/>
                  </a:stretch>
                </pic:blipFill>
                <pic:spPr bwMode="auto">
                  <a:xfrm>
                    <a:off x="0" y="0"/>
                    <a:ext cx="3305175" cy="552450"/>
                  </a:xfrm>
                  <a:prstGeom prst="rect">
                    <a:avLst/>
                  </a:prstGeom>
                  <a:noFill/>
                  <a:ln w="9525">
                    <a:noFill/>
                    <a:miter lim="800000"/>
                    <a:headEnd/>
                    <a:tailEnd/>
                  </a:ln>
                </pic:spPr>
              </pic:pic>
            </a:graphicData>
          </a:graphic>
        </wp:inline>
      </w:drawing>
    </w:r>
    <w:r w:rsidR="00B447B5">
      <w:tab/>
    </w:r>
  </w:p>
  <w:p w:rsidR="00B447B5" w:rsidRDefault="00B447B5" w:rsidP="00E32153">
    <w:pPr>
      <w:tabs>
        <w:tab w:val="left" w:pos="8190"/>
      </w:tabs>
      <w:spacing w:line="19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F8"/>
    <w:rsid w:val="0004323F"/>
    <w:rsid w:val="00064158"/>
    <w:rsid w:val="000753F3"/>
    <w:rsid w:val="000A1E3D"/>
    <w:rsid w:val="000A3529"/>
    <w:rsid w:val="000F539F"/>
    <w:rsid w:val="000F7DE7"/>
    <w:rsid w:val="00230794"/>
    <w:rsid w:val="00290CB0"/>
    <w:rsid w:val="002C10F5"/>
    <w:rsid w:val="003C1460"/>
    <w:rsid w:val="003E7FC6"/>
    <w:rsid w:val="0042599D"/>
    <w:rsid w:val="00427C34"/>
    <w:rsid w:val="004322F9"/>
    <w:rsid w:val="00456A45"/>
    <w:rsid w:val="00461F53"/>
    <w:rsid w:val="004D2736"/>
    <w:rsid w:val="004F5444"/>
    <w:rsid w:val="005902F8"/>
    <w:rsid w:val="005A18AA"/>
    <w:rsid w:val="005A6AD0"/>
    <w:rsid w:val="006159F4"/>
    <w:rsid w:val="006A6980"/>
    <w:rsid w:val="00792F9C"/>
    <w:rsid w:val="007C30B4"/>
    <w:rsid w:val="007D3DD1"/>
    <w:rsid w:val="0080737B"/>
    <w:rsid w:val="00832A74"/>
    <w:rsid w:val="00877B76"/>
    <w:rsid w:val="008B50D1"/>
    <w:rsid w:val="008E5816"/>
    <w:rsid w:val="00A3622D"/>
    <w:rsid w:val="00A40D19"/>
    <w:rsid w:val="00A609BA"/>
    <w:rsid w:val="00B447B5"/>
    <w:rsid w:val="00B44CE3"/>
    <w:rsid w:val="00BA2E80"/>
    <w:rsid w:val="00BD5151"/>
    <w:rsid w:val="00C11770"/>
    <w:rsid w:val="00C12553"/>
    <w:rsid w:val="00C92D8F"/>
    <w:rsid w:val="00C94B69"/>
    <w:rsid w:val="00D078FF"/>
    <w:rsid w:val="00D9711B"/>
    <w:rsid w:val="00DC08F5"/>
    <w:rsid w:val="00DF3DB6"/>
    <w:rsid w:val="00E26DE6"/>
    <w:rsid w:val="00E32153"/>
    <w:rsid w:val="00E321B7"/>
    <w:rsid w:val="00E8777D"/>
    <w:rsid w:val="00EB47EA"/>
    <w:rsid w:val="00F559EF"/>
    <w:rsid w:val="00F6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AC9"/>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rsid w:val="00F60AC9"/>
  </w:style>
  <w:style w:type="paragraph" w:styleId="Header">
    <w:name w:val="header"/>
    <w:basedOn w:val="Normal"/>
    <w:link w:val="HeaderChar"/>
    <w:uiPriority w:val="99"/>
    <w:rsid w:val="00BA2E80"/>
    <w:pPr>
      <w:tabs>
        <w:tab w:val="center" w:pos="4320"/>
        <w:tab w:val="right" w:pos="8640"/>
      </w:tabs>
    </w:pPr>
  </w:style>
  <w:style w:type="paragraph" w:styleId="Footer">
    <w:name w:val="footer"/>
    <w:basedOn w:val="Normal"/>
    <w:rsid w:val="00BA2E80"/>
    <w:pPr>
      <w:tabs>
        <w:tab w:val="center" w:pos="4320"/>
        <w:tab w:val="right" w:pos="8640"/>
      </w:tabs>
    </w:pPr>
  </w:style>
  <w:style w:type="character" w:customStyle="1" w:styleId="HeaderChar">
    <w:name w:val="Header Char"/>
    <w:basedOn w:val="DefaultParagraphFont"/>
    <w:link w:val="Header"/>
    <w:uiPriority w:val="99"/>
    <w:rsid w:val="00E32153"/>
    <w:rPr>
      <w:rFonts w:ascii="Times" w:hAnsi="Times"/>
      <w:sz w:val="24"/>
    </w:rPr>
  </w:style>
  <w:style w:type="paragraph" w:styleId="BalloonText">
    <w:name w:val="Balloon Text"/>
    <w:basedOn w:val="Normal"/>
    <w:link w:val="BalloonTextChar"/>
    <w:rsid w:val="00E32153"/>
    <w:rPr>
      <w:rFonts w:ascii="Tahoma" w:hAnsi="Tahoma" w:cs="Tahoma"/>
      <w:sz w:val="16"/>
      <w:szCs w:val="16"/>
    </w:rPr>
  </w:style>
  <w:style w:type="character" w:customStyle="1" w:styleId="BalloonTextChar">
    <w:name w:val="Balloon Text Char"/>
    <w:basedOn w:val="DefaultParagraphFont"/>
    <w:link w:val="BalloonText"/>
    <w:rsid w:val="00E32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AC9"/>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rsid w:val="00F60AC9"/>
  </w:style>
  <w:style w:type="paragraph" w:styleId="Header">
    <w:name w:val="header"/>
    <w:basedOn w:val="Normal"/>
    <w:link w:val="HeaderChar"/>
    <w:uiPriority w:val="99"/>
    <w:rsid w:val="00BA2E80"/>
    <w:pPr>
      <w:tabs>
        <w:tab w:val="center" w:pos="4320"/>
        <w:tab w:val="right" w:pos="8640"/>
      </w:tabs>
    </w:pPr>
  </w:style>
  <w:style w:type="paragraph" w:styleId="Footer">
    <w:name w:val="footer"/>
    <w:basedOn w:val="Normal"/>
    <w:rsid w:val="00BA2E80"/>
    <w:pPr>
      <w:tabs>
        <w:tab w:val="center" w:pos="4320"/>
        <w:tab w:val="right" w:pos="8640"/>
      </w:tabs>
    </w:pPr>
  </w:style>
  <w:style w:type="character" w:customStyle="1" w:styleId="HeaderChar">
    <w:name w:val="Header Char"/>
    <w:basedOn w:val="DefaultParagraphFont"/>
    <w:link w:val="Header"/>
    <w:uiPriority w:val="99"/>
    <w:rsid w:val="00E32153"/>
    <w:rPr>
      <w:rFonts w:ascii="Times" w:hAnsi="Times"/>
      <w:sz w:val="24"/>
    </w:rPr>
  </w:style>
  <w:style w:type="paragraph" w:styleId="BalloonText">
    <w:name w:val="Balloon Text"/>
    <w:basedOn w:val="Normal"/>
    <w:link w:val="BalloonTextChar"/>
    <w:rsid w:val="00E32153"/>
    <w:rPr>
      <w:rFonts w:ascii="Tahoma" w:hAnsi="Tahoma" w:cs="Tahoma"/>
      <w:sz w:val="16"/>
      <w:szCs w:val="16"/>
    </w:rPr>
  </w:style>
  <w:style w:type="character" w:customStyle="1" w:styleId="BalloonTextChar">
    <w:name w:val="Balloon Text Char"/>
    <w:basedOn w:val="DefaultParagraphFont"/>
    <w:link w:val="BalloonText"/>
    <w:rsid w:val="00E32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Dartmouth-Hitchcock Medical Center</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Continuing Education</dc:creator>
  <cp:keywords/>
  <cp:lastModifiedBy>Jody L. Bradford</cp:lastModifiedBy>
  <cp:revision>2</cp:revision>
  <cp:lastPrinted>2010-11-03T12:49:00Z</cp:lastPrinted>
  <dcterms:created xsi:type="dcterms:W3CDTF">2012-09-07T14:42:00Z</dcterms:created>
  <dcterms:modified xsi:type="dcterms:W3CDTF">2012-09-07T14:42:00Z</dcterms:modified>
</cp:coreProperties>
</file>