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84" w:rsidRPr="00AF7F4E" w:rsidRDefault="00B944D9">
      <w:pPr>
        <w:rPr>
          <w:rFonts w:ascii="Trebuchet MS" w:hAnsi="Trebuchet MS"/>
          <w:sz w:val="28"/>
          <w:szCs w:val="28"/>
        </w:rPr>
      </w:pPr>
      <w:r w:rsidRPr="00AF7F4E">
        <w:rPr>
          <w:rFonts w:ascii="Trebuchet MS" w:hAnsi="Trebuchet MS"/>
          <w:b/>
          <w:noProof/>
          <w:sz w:val="30"/>
          <w:szCs w:val="30"/>
        </w:rPr>
        <w:drawing>
          <wp:inline distT="0" distB="0" distL="0" distR="0" wp14:anchorId="1BA9303B" wp14:editId="44ABF6B7">
            <wp:extent cx="1876425" cy="31492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MC-CCEHS_l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823" cy="316669"/>
                    </a:xfrm>
                    <a:prstGeom prst="rect">
                      <a:avLst/>
                    </a:prstGeom>
                  </pic:spPr>
                </pic:pic>
              </a:graphicData>
            </a:graphic>
          </wp:inline>
        </w:drawing>
      </w:r>
    </w:p>
    <w:p w:rsidR="00FC3BDA" w:rsidRPr="00A73468" w:rsidRDefault="00B944D9" w:rsidP="00FC3BDA">
      <w:pPr>
        <w:spacing w:line="276" w:lineRule="auto"/>
        <w:rPr>
          <w:b/>
          <w:sz w:val="20"/>
        </w:rPr>
      </w:pPr>
      <w:r w:rsidRPr="00AF7F4E">
        <w:rPr>
          <w:rFonts w:ascii="Trebuchet MS" w:hAnsi="Trebuchet MS"/>
          <w:b/>
          <w:sz w:val="40"/>
          <w:szCs w:val="40"/>
        </w:rPr>
        <w:br/>
      </w:r>
      <w:r w:rsidR="00FC3BDA" w:rsidRPr="00FC3BDA">
        <w:rPr>
          <w:rFonts w:ascii="Trebuchet MS" w:hAnsi="Trebuchet MS"/>
          <w:b/>
          <w:sz w:val="28"/>
          <w:szCs w:val="28"/>
        </w:rPr>
        <w:t>D-H Policy on Reporting to Learners All Disclosures of Potential Commercial Bias and Conflicts of Interest, or a Lack Thereof, and All Sources of Support from Commercial Interests for an Accredited CME and/or CNE Activity</w:t>
      </w:r>
    </w:p>
    <w:p w:rsidR="00FC3BDA" w:rsidRDefault="00FC3BDA" w:rsidP="00B944D9">
      <w:pPr>
        <w:rPr>
          <w:rFonts w:ascii="Trebuchet MS" w:hAnsi="Trebuchet MS"/>
          <w:b/>
          <w:sz w:val="28"/>
          <w:szCs w:val="28"/>
        </w:rPr>
      </w:pPr>
      <w:bookmarkStart w:id="0" w:name="_GoBack"/>
      <w:bookmarkEnd w:id="0"/>
    </w:p>
    <w:p w:rsidR="00FC3BDA" w:rsidRPr="00FC3BDA" w:rsidRDefault="00FC3BDA" w:rsidP="00FC3BDA">
      <w:pPr>
        <w:spacing w:line="276" w:lineRule="auto"/>
        <w:rPr>
          <w:rFonts w:ascii="Trebuchet MS" w:hAnsi="Trebuchet MS"/>
          <w:i/>
          <w:sz w:val="21"/>
          <w:szCs w:val="21"/>
        </w:rPr>
      </w:pPr>
      <w:r w:rsidRPr="00FC3BDA">
        <w:rPr>
          <w:rFonts w:ascii="Trebuchet MS" w:hAnsi="Trebuchet MS"/>
          <w:i/>
          <w:sz w:val="21"/>
          <w:szCs w:val="21"/>
        </w:rPr>
        <w:t>The Dartmouth-Hitchcock Medical Center (DHMC) constituent organizations - Dartmouth-Hitchcock Clinic (DHC), Mary Hitchcock Memorial Hospital (MHMH), Veterans Administration Medical Center (VAMC), and Geisel School of Medicine at Dartmouth - are committed to providing Continuing Medical Education (CME) and Continuing Nursing Education (CNE) activities that are linked to quality and safety, are effective in improving medical and nursing practice, are based on valid content, and are independent of comm</w:t>
      </w:r>
      <w:r w:rsidR="00EF5D55">
        <w:rPr>
          <w:rFonts w:ascii="Trebuchet MS" w:hAnsi="Trebuchet MS"/>
          <w:i/>
          <w:sz w:val="21"/>
          <w:szCs w:val="21"/>
        </w:rPr>
        <w:t>ercial interests.</w:t>
      </w:r>
      <w:r w:rsidRPr="00FC3BDA">
        <w:rPr>
          <w:rFonts w:ascii="Trebuchet MS" w:hAnsi="Trebuchet MS"/>
          <w:i/>
          <w:sz w:val="21"/>
          <w:szCs w:val="21"/>
        </w:rPr>
        <w:t xml:space="preserve"> Our CME and CNE accredited activities are for scientific and educational purposes only and will in no way promote products and services of commercial interests either in content or selection of topics.</w:t>
      </w:r>
    </w:p>
    <w:p w:rsidR="00FC3BDA" w:rsidRPr="00EF5D55" w:rsidRDefault="00FC3BDA" w:rsidP="00B944D9">
      <w:pPr>
        <w:rPr>
          <w:rFonts w:ascii="Trebuchet MS" w:hAnsi="Trebuchet MS"/>
          <w:b/>
        </w:rPr>
      </w:pPr>
    </w:p>
    <w:p w:rsidR="00FC3BDA" w:rsidRPr="00A73468" w:rsidRDefault="00FC3BDA" w:rsidP="00FC3BDA">
      <w:pPr>
        <w:rPr>
          <w:sz w:val="20"/>
        </w:rPr>
      </w:pPr>
      <w:r w:rsidRPr="00FC3BDA">
        <w:rPr>
          <w:rFonts w:ascii="Trebuchet MS" w:hAnsi="Trebuchet MS"/>
          <w:b/>
          <w:color w:val="086351"/>
          <w:sz w:val="21"/>
          <w:szCs w:val="21"/>
        </w:rPr>
        <w:t xml:space="preserve">Reporting All Disclosures </w:t>
      </w:r>
      <w:r w:rsidRPr="00FC3BDA">
        <w:rPr>
          <w:rFonts w:ascii="Trebuchet MS" w:hAnsi="Trebuchet MS"/>
          <w:sz w:val="21"/>
          <w:szCs w:val="21"/>
        </w:rPr>
        <w:br/>
        <w:t>Activity Directors or Nurse Planners of an accredited CME and/or CNE activity are responsible to report to learners prior to the start of the activity all disclosures relevant to potential commercial bias and all conflict of interests (COI) by an activity director, planning committee member, speaker, author or anyone in a position to control content disclosed on</w:t>
      </w:r>
      <w:r w:rsidRPr="00A73468">
        <w:rPr>
          <w:sz w:val="20"/>
        </w:rPr>
        <w:t xml:space="preserve"> </w:t>
      </w:r>
      <w:r w:rsidRPr="00FC3BDA">
        <w:rPr>
          <w:rFonts w:ascii="Trebuchet MS" w:hAnsi="Trebuchet MS"/>
          <w:sz w:val="21"/>
          <w:szCs w:val="21"/>
        </w:rPr>
        <w:t>the D-H COI Policy and COI Resolution Form by means of two of following methods, depending on the activity type and format:</w:t>
      </w:r>
    </w:p>
    <w:p w:rsidR="00FC3BDA" w:rsidRPr="00A73468" w:rsidRDefault="00FC3BDA" w:rsidP="00FC3BDA">
      <w:pPr>
        <w:rPr>
          <w:sz w:val="20"/>
        </w:rPr>
      </w:pPr>
    </w:p>
    <w:p w:rsidR="00FC3BDA" w:rsidRPr="00FC3BDA" w:rsidRDefault="00FC3BDA" w:rsidP="00FC3BDA">
      <w:pPr>
        <w:numPr>
          <w:ilvl w:val="0"/>
          <w:numId w:val="4"/>
        </w:numPr>
        <w:spacing w:after="200"/>
        <w:ind w:left="720"/>
        <w:rPr>
          <w:rFonts w:ascii="Trebuchet MS" w:hAnsi="Trebuchet MS"/>
          <w:sz w:val="21"/>
          <w:szCs w:val="21"/>
        </w:rPr>
      </w:pPr>
      <w:r w:rsidRPr="00FC3BDA">
        <w:rPr>
          <w:rFonts w:ascii="Trebuchet MS" w:hAnsi="Trebuchet MS"/>
          <w:sz w:val="21"/>
          <w:szCs w:val="21"/>
        </w:rPr>
        <w:t>Presented in writing in the participants’ learning activity materials or on the official attendance sign-in sheet.</w:t>
      </w:r>
    </w:p>
    <w:p w:rsidR="00FC3BDA" w:rsidRPr="00FC3BDA" w:rsidRDefault="00FC3BDA" w:rsidP="00FC3BDA">
      <w:pPr>
        <w:numPr>
          <w:ilvl w:val="0"/>
          <w:numId w:val="4"/>
        </w:numPr>
        <w:spacing w:after="200"/>
        <w:ind w:left="720"/>
        <w:rPr>
          <w:rFonts w:ascii="Trebuchet MS" w:hAnsi="Trebuchet MS"/>
          <w:sz w:val="21"/>
          <w:szCs w:val="21"/>
        </w:rPr>
      </w:pPr>
      <w:r w:rsidRPr="00FC3BDA">
        <w:rPr>
          <w:rFonts w:ascii="Trebuchet MS" w:hAnsi="Trebuchet MS"/>
          <w:sz w:val="21"/>
          <w:szCs w:val="21"/>
        </w:rPr>
        <w:t>Presented in writing in the introduction slide deck shown to the learners at the start of the activity.</w:t>
      </w:r>
    </w:p>
    <w:p w:rsidR="00FC3BDA" w:rsidRPr="00FC3BDA" w:rsidRDefault="00FC3BDA" w:rsidP="00FC3BDA">
      <w:pPr>
        <w:pStyle w:val="ListParagraph"/>
        <w:numPr>
          <w:ilvl w:val="0"/>
          <w:numId w:val="4"/>
        </w:numPr>
        <w:ind w:left="720"/>
        <w:rPr>
          <w:rFonts w:ascii="Trebuchet MS" w:hAnsi="Trebuchet MS"/>
          <w:sz w:val="21"/>
          <w:szCs w:val="21"/>
        </w:rPr>
      </w:pPr>
      <w:r w:rsidRPr="00FC3BDA">
        <w:rPr>
          <w:rFonts w:ascii="Trebuchet MS" w:hAnsi="Trebuchet MS"/>
          <w:sz w:val="21"/>
          <w:szCs w:val="21"/>
        </w:rPr>
        <w:t xml:space="preserve">Verbally disclosed and documented on the </w:t>
      </w:r>
      <w:hyperlink r:id="rId9" w:history="1">
        <w:r w:rsidRPr="00FC3BDA">
          <w:rPr>
            <w:rStyle w:val="Hyperlink"/>
            <w:rFonts w:ascii="Trebuchet MS" w:hAnsi="Trebuchet MS"/>
            <w:sz w:val="21"/>
            <w:szCs w:val="21"/>
          </w:rPr>
          <w:t>Acknowledgement of Disclosure Attestation Form</w:t>
        </w:r>
      </w:hyperlink>
      <w:r w:rsidRPr="00FC3BDA">
        <w:rPr>
          <w:rFonts w:ascii="Trebuchet MS" w:hAnsi="Trebuchet MS"/>
          <w:sz w:val="21"/>
          <w:szCs w:val="21"/>
        </w:rPr>
        <w:t>.</w:t>
      </w:r>
    </w:p>
    <w:p w:rsidR="00FC3BDA" w:rsidRPr="00FC3BDA" w:rsidRDefault="00FC3BDA" w:rsidP="00FC3BDA">
      <w:pPr>
        <w:ind w:left="720" w:hanging="360"/>
        <w:rPr>
          <w:rFonts w:ascii="Trebuchet MS" w:hAnsi="Trebuchet MS"/>
          <w:sz w:val="21"/>
          <w:szCs w:val="21"/>
        </w:rPr>
      </w:pPr>
    </w:p>
    <w:p w:rsidR="00FC3BDA" w:rsidRPr="00EF5D55" w:rsidRDefault="00FC3BDA" w:rsidP="00EF5D55">
      <w:pPr>
        <w:pStyle w:val="ListParagraph"/>
        <w:numPr>
          <w:ilvl w:val="0"/>
          <w:numId w:val="4"/>
        </w:numPr>
        <w:ind w:left="720"/>
        <w:rPr>
          <w:rFonts w:ascii="Trebuchet MS" w:hAnsi="Trebuchet MS"/>
          <w:sz w:val="21"/>
          <w:szCs w:val="21"/>
        </w:rPr>
      </w:pPr>
      <w:r w:rsidRPr="00FC3BDA">
        <w:rPr>
          <w:rFonts w:ascii="Trebuchet MS" w:hAnsi="Trebuchet MS"/>
          <w:sz w:val="21"/>
          <w:szCs w:val="21"/>
        </w:rPr>
        <w:t>For enduring materials (e.g. Internet Activity, DVD, printed or recorded materials) learners must be made to pass through the information in order to engage in the CME activity. The use of tabs, links, or other electronic means that allow learners to go directly to the CME content and bypass the information are not acceptable methods for complying with Standard for Commercial Support 6.</w:t>
      </w:r>
    </w:p>
    <w:p w:rsidR="00FC3BDA" w:rsidRPr="00EF5D55" w:rsidRDefault="00FC3BDA" w:rsidP="00FC3BDA">
      <w:pPr>
        <w:pStyle w:val="ListParagraph"/>
      </w:pPr>
    </w:p>
    <w:p w:rsidR="00FC3BDA" w:rsidRPr="00FC3BDA" w:rsidRDefault="00FC3BDA" w:rsidP="00FC3BDA">
      <w:pPr>
        <w:rPr>
          <w:rFonts w:ascii="Trebuchet MS" w:hAnsi="Trebuchet MS"/>
          <w:b/>
          <w:color w:val="086351"/>
          <w:sz w:val="21"/>
          <w:szCs w:val="21"/>
        </w:rPr>
      </w:pPr>
      <w:r w:rsidRPr="00FC3BDA">
        <w:rPr>
          <w:rFonts w:ascii="Trebuchet MS" w:hAnsi="Trebuchet MS"/>
          <w:b/>
          <w:color w:val="086351"/>
          <w:sz w:val="21"/>
          <w:szCs w:val="21"/>
        </w:rPr>
        <w:t xml:space="preserve">Reporting All Sources of Support from Commercial Interests </w:t>
      </w:r>
    </w:p>
    <w:p w:rsidR="00FC3BDA" w:rsidRPr="00EF5D55" w:rsidRDefault="00FC3BDA" w:rsidP="00FC3BDA">
      <w:pPr>
        <w:rPr>
          <w:rFonts w:ascii="Trebuchet MS" w:hAnsi="Trebuchet MS"/>
          <w:sz w:val="21"/>
          <w:szCs w:val="21"/>
        </w:rPr>
      </w:pPr>
      <w:r w:rsidRPr="00FC3BDA">
        <w:rPr>
          <w:rFonts w:ascii="Trebuchet MS" w:hAnsi="Trebuchet MS"/>
          <w:sz w:val="21"/>
          <w:szCs w:val="21"/>
        </w:rPr>
        <w:t>All Activity Directors or Nurse Planners are responsible to report to learners prior to the activity, all sources of support from commercial interests for the activity including in-kind support, if applicable.  Reporting must be done by means of two of the above methods, and documented.</w:t>
      </w:r>
    </w:p>
    <w:p w:rsidR="00FC3BDA" w:rsidRPr="00EF5D55" w:rsidRDefault="00FC3BDA" w:rsidP="00FC3BDA"/>
    <w:p w:rsidR="00FC3BDA" w:rsidRPr="00FC3BDA" w:rsidRDefault="00FC3BDA" w:rsidP="00FC3BDA">
      <w:pPr>
        <w:rPr>
          <w:rFonts w:ascii="Trebuchet MS" w:hAnsi="Trebuchet MS"/>
          <w:sz w:val="21"/>
          <w:szCs w:val="21"/>
        </w:rPr>
      </w:pPr>
      <w:r w:rsidRPr="00FC3BDA">
        <w:rPr>
          <w:rFonts w:ascii="Trebuchet MS" w:hAnsi="Trebuchet MS"/>
          <w:b/>
          <w:color w:val="086351"/>
          <w:sz w:val="21"/>
          <w:szCs w:val="21"/>
        </w:rPr>
        <w:t>Failure to Comply</w:t>
      </w:r>
      <w:r w:rsidRPr="00A73468">
        <w:rPr>
          <w:b/>
          <w:sz w:val="20"/>
        </w:rPr>
        <w:br/>
      </w:r>
      <w:r w:rsidRPr="00FC3BDA">
        <w:rPr>
          <w:rFonts w:ascii="Trebuchet MS" w:hAnsi="Trebuchet MS"/>
          <w:sz w:val="21"/>
          <w:szCs w:val="21"/>
        </w:rPr>
        <w:t>Failure to comply will result in delay, denial or withdrawal of accreditation of the activity.</w:t>
      </w:r>
    </w:p>
    <w:p w:rsidR="00FC3BDA" w:rsidRDefault="00FC3BDA" w:rsidP="00FC3BDA">
      <w:pPr>
        <w:rPr>
          <w:sz w:val="20"/>
        </w:rPr>
      </w:pPr>
    </w:p>
    <w:p w:rsidR="00FC3BDA" w:rsidRDefault="00FC3BDA" w:rsidP="00FC3BDA">
      <w:pPr>
        <w:rPr>
          <w:sz w:val="20"/>
        </w:rPr>
      </w:pPr>
    </w:p>
    <w:p w:rsidR="00FC3BDA" w:rsidRDefault="00FC3BDA" w:rsidP="00FC3BDA">
      <w:pPr>
        <w:rPr>
          <w:sz w:val="20"/>
        </w:rPr>
      </w:pPr>
    </w:p>
    <w:p w:rsidR="00FC3BDA" w:rsidRDefault="00FC3BDA" w:rsidP="00FC3BDA">
      <w:pPr>
        <w:rPr>
          <w:sz w:val="20"/>
        </w:rPr>
      </w:pPr>
    </w:p>
    <w:p w:rsidR="00FC3BDA" w:rsidRPr="00FC3BDA" w:rsidRDefault="00FC3BDA" w:rsidP="00FC3BDA">
      <w:pPr>
        <w:rPr>
          <w:rFonts w:ascii="Trebuchet MS" w:hAnsi="Trebuchet MS"/>
          <w:sz w:val="16"/>
          <w:szCs w:val="16"/>
        </w:rPr>
      </w:pPr>
      <w:r w:rsidRPr="00FC3BDA">
        <w:rPr>
          <w:rFonts w:ascii="Trebuchet MS" w:hAnsi="Trebuchet MS"/>
          <w:sz w:val="16"/>
          <w:szCs w:val="16"/>
        </w:rPr>
        <w:t>Adopted: 2007</w:t>
      </w:r>
      <w:r w:rsidRPr="00FC3BDA">
        <w:rPr>
          <w:rFonts w:ascii="Trebuchet MS" w:hAnsi="Trebuchet MS"/>
          <w:sz w:val="16"/>
          <w:szCs w:val="16"/>
        </w:rPr>
        <w:br/>
        <w:t>Revised: September 2008, November 2010, September 2012</w:t>
      </w:r>
    </w:p>
    <w:p w:rsidR="00FC3BDA" w:rsidRDefault="00FC3BDA" w:rsidP="00B944D9">
      <w:pPr>
        <w:rPr>
          <w:rFonts w:ascii="Trebuchet MS" w:hAnsi="Trebuchet MS"/>
          <w:b/>
          <w:sz w:val="28"/>
          <w:szCs w:val="28"/>
        </w:rPr>
      </w:pPr>
    </w:p>
    <w:p w:rsidR="00FC3BDA" w:rsidRDefault="00FC3BDA" w:rsidP="00B944D9">
      <w:pPr>
        <w:rPr>
          <w:rFonts w:ascii="Trebuchet MS" w:hAnsi="Trebuchet MS"/>
          <w:b/>
          <w:sz w:val="28"/>
          <w:szCs w:val="28"/>
        </w:rPr>
      </w:pPr>
    </w:p>
    <w:p w:rsidR="003C66D4" w:rsidRPr="00AF7F4E" w:rsidRDefault="003C66D4" w:rsidP="00FC3BDA">
      <w:pPr>
        <w:rPr>
          <w:rFonts w:ascii="Trebuchet MS" w:hAnsi="Trebuchet MS"/>
          <w:b/>
          <w:i/>
          <w:color w:val="086351"/>
          <w:sz w:val="28"/>
          <w:szCs w:val="28"/>
        </w:rPr>
      </w:pPr>
    </w:p>
    <w:sectPr w:rsidR="003C66D4" w:rsidRPr="00AF7F4E" w:rsidSect="00B944D9">
      <w:footerReference w:type="default" r:id="rId10"/>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BDA" w:rsidRDefault="00FC3BDA" w:rsidP="00B944D9">
      <w:r>
        <w:separator/>
      </w:r>
    </w:p>
  </w:endnote>
  <w:endnote w:type="continuationSeparator" w:id="0">
    <w:p w:rsidR="00FC3BDA" w:rsidRDefault="00FC3BDA" w:rsidP="00B9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DA" w:rsidRPr="00AF7F4E" w:rsidRDefault="00FC3BDA" w:rsidP="00C94BB9">
    <w:pPr>
      <w:pStyle w:val="Footer"/>
      <w:jc w:val="center"/>
      <w:rPr>
        <w:rFonts w:ascii="Trebuchet MS" w:hAnsi="Trebuchet MS"/>
        <w:sz w:val="16"/>
        <w:szCs w:val="16"/>
      </w:rPr>
    </w:pPr>
    <w:r w:rsidRPr="00AF7F4E">
      <w:rPr>
        <w:rFonts w:ascii="Trebuchet MS" w:hAnsi="Trebuchet MS"/>
        <w:color w:val="000000" w:themeColor="text1"/>
        <w:sz w:val="16"/>
        <w:szCs w:val="16"/>
      </w:rPr>
      <w:t xml:space="preserve">One Medical Center Drive, Lebanon, NH 03756  </w:t>
    </w:r>
    <w:r w:rsidRPr="00AF7F4E">
      <w:rPr>
        <w:rFonts w:ascii="Trebuchet MS" w:hAnsi="Trebuchet MS" w:cs="Arial"/>
        <w:color w:val="086351"/>
        <w:sz w:val="12"/>
        <w:szCs w:val="12"/>
      </w:rPr>
      <w:t>●</w:t>
    </w:r>
    <w:r w:rsidRPr="00AF7F4E">
      <w:rPr>
        <w:rFonts w:ascii="Trebuchet MS" w:hAnsi="Trebuchet MS"/>
        <w:color w:val="000000" w:themeColor="text1"/>
        <w:sz w:val="16"/>
        <w:szCs w:val="16"/>
      </w:rPr>
      <w:t xml:space="preserve">  Phone: (603) 653-1234  </w:t>
    </w:r>
    <w:r w:rsidRPr="00AF7F4E">
      <w:rPr>
        <w:rFonts w:ascii="Trebuchet MS" w:hAnsi="Trebuchet MS" w:cs="Arial"/>
        <w:color w:val="086351"/>
        <w:sz w:val="12"/>
        <w:szCs w:val="12"/>
      </w:rPr>
      <w:t>●</w:t>
    </w:r>
    <w:r w:rsidRPr="00AF7F4E">
      <w:rPr>
        <w:rFonts w:ascii="Trebuchet MS" w:hAnsi="Trebuchet MS"/>
        <w:color w:val="000000" w:themeColor="text1"/>
        <w:sz w:val="16"/>
        <w:szCs w:val="16"/>
      </w:rPr>
      <w:t xml:space="preserve">  Fax: (603) 653-6660  </w:t>
    </w:r>
    <w:r w:rsidRPr="00AF7F4E">
      <w:rPr>
        <w:rFonts w:ascii="Trebuchet MS" w:hAnsi="Trebuchet MS" w:cs="Arial"/>
        <w:color w:val="086351"/>
        <w:sz w:val="12"/>
        <w:szCs w:val="12"/>
      </w:rPr>
      <w:t>●</w:t>
    </w:r>
    <w:r w:rsidRPr="00AF7F4E">
      <w:rPr>
        <w:rFonts w:ascii="Trebuchet MS" w:hAnsi="Trebuchet MS"/>
        <w:color w:val="000000" w:themeColor="text1"/>
        <w:sz w:val="16"/>
        <w:szCs w:val="16"/>
      </w:rPr>
      <w:t xml:space="preserve">  </w:t>
    </w:r>
    <w:hyperlink r:id="rId1" w:history="1">
      <w:r w:rsidRPr="00AF7F4E">
        <w:rPr>
          <w:rStyle w:val="Hyperlink"/>
          <w:rFonts w:ascii="Trebuchet MS" w:hAnsi="Trebuchet MS"/>
          <w:color w:val="000000" w:themeColor="text1"/>
          <w:sz w:val="16"/>
          <w:szCs w:val="16"/>
          <w:u w:val="none"/>
        </w:rPr>
        <w:t>http://med.dartmouth-hitchcock.org/ccehs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BDA" w:rsidRDefault="00FC3BDA" w:rsidP="00B944D9">
      <w:r>
        <w:separator/>
      </w:r>
    </w:p>
  </w:footnote>
  <w:footnote w:type="continuationSeparator" w:id="0">
    <w:p w:rsidR="00FC3BDA" w:rsidRDefault="00FC3BDA" w:rsidP="00B94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790"/>
    <w:multiLevelType w:val="hybridMultilevel"/>
    <w:tmpl w:val="CADA9E28"/>
    <w:lvl w:ilvl="0" w:tplc="F2D808E2">
      <w:start w:val="1"/>
      <w:numFmt w:val="bullet"/>
      <w:lvlText w:val=""/>
      <w:lvlJc w:val="left"/>
      <w:pPr>
        <w:ind w:left="1440" w:hanging="360"/>
      </w:pPr>
      <w:rPr>
        <w:rFonts w:ascii="Symbol" w:hAnsi="Symbol" w:hint="default"/>
        <w:color w:val="086351"/>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775402"/>
    <w:multiLevelType w:val="hybridMultilevel"/>
    <w:tmpl w:val="1CF6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E67F40"/>
    <w:multiLevelType w:val="hybridMultilevel"/>
    <w:tmpl w:val="7CA8A0DA"/>
    <w:lvl w:ilvl="0" w:tplc="593CBAC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B7E65AD"/>
    <w:multiLevelType w:val="hybridMultilevel"/>
    <w:tmpl w:val="CEFC2944"/>
    <w:lvl w:ilvl="0" w:tplc="7400858C">
      <w:start w:val="1"/>
      <w:numFmt w:val="decimal"/>
      <w:lvlText w:val="%1."/>
      <w:lvlJc w:val="left"/>
      <w:pPr>
        <w:ind w:left="720" w:hanging="360"/>
      </w:pPr>
      <w:rPr>
        <w:b/>
        <w:position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84"/>
    <w:rsid w:val="000C7BBF"/>
    <w:rsid w:val="00103366"/>
    <w:rsid w:val="0012102A"/>
    <w:rsid w:val="001248CB"/>
    <w:rsid w:val="00190511"/>
    <w:rsid w:val="001A7AE4"/>
    <w:rsid w:val="00204E3A"/>
    <w:rsid w:val="003265F0"/>
    <w:rsid w:val="00344E16"/>
    <w:rsid w:val="003C66D4"/>
    <w:rsid w:val="003D7694"/>
    <w:rsid w:val="00417E50"/>
    <w:rsid w:val="00550E1F"/>
    <w:rsid w:val="005B2E6A"/>
    <w:rsid w:val="00606708"/>
    <w:rsid w:val="006B6738"/>
    <w:rsid w:val="00802D46"/>
    <w:rsid w:val="008367EA"/>
    <w:rsid w:val="00854755"/>
    <w:rsid w:val="008A2D84"/>
    <w:rsid w:val="008F2116"/>
    <w:rsid w:val="009D674E"/>
    <w:rsid w:val="009F1A7F"/>
    <w:rsid w:val="00A56860"/>
    <w:rsid w:val="00AF7F4E"/>
    <w:rsid w:val="00B06337"/>
    <w:rsid w:val="00B944D9"/>
    <w:rsid w:val="00BA3908"/>
    <w:rsid w:val="00BC12CA"/>
    <w:rsid w:val="00C00A9E"/>
    <w:rsid w:val="00C94BB9"/>
    <w:rsid w:val="00CA1D68"/>
    <w:rsid w:val="00D00908"/>
    <w:rsid w:val="00D16464"/>
    <w:rsid w:val="00DD67FE"/>
    <w:rsid w:val="00E0517B"/>
    <w:rsid w:val="00EE4153"/>
    <w:rsid w:val="00EF5D55"/>
    <w:rsid w:val="00F602F7"/>
    <w:rsid w:val="00FC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2D84"/>
    <w:rPr>
      <w:rFonts w:ascii="Tahoma" w:hAnsi="Tahoma" w:cs="Tahoma"/>
      <w:sz w:val="16"/>
      <w:szCs w:val="16"/>
    </w:rPr>
  </w:style>
  <w:style w:type="character" w:customStyle="1" w:styleId="BalloonTextChar">
    <w:name w:val="Balloon Text Char"/>
    <w:basedOn w:val="DefaultParagraphFont"/>
    <w:link w:val="BalloonText"/>
    <w:rsid w:val="008A2D84"/>
    <w:rPr>
      <w:rFonts w:ascii="Tahoma" w:hAnsi="Tahoma" w:cs="Tahoma"/>
      <w:sz w:val="16"/>
      <w:szCs w:val="16"/>
    </w:rPr>
  </w:style>
  <w:style w:type="paragraph" w:styleId="ListParagraph">
    <w:name w:val="List Paragraph"/>
    <w:basedOn w:val="Normal"/>
    <w:uiPriority w:val="34"/>
    <w:qFormat/>
    <w:rsid w:val="00802D46"/>
    <w:pPr>
      <w:ind w:left="720"/>
      <w:contextualSpacing/>
    </w:pPr>
  </w:style>
  <w:style w:type="paragraph" w:styleId="Header">
    <w:name w:val="header"/>
    <w:basedOn w:val="Normal"/>
    <w:link w:val="HeaderChar"/>
    <w:rsid w:val="00B944D9"/>
    <w:pPr>
      <w:tabs>
        <w:tab w:val="center" w:pos="4680"/>
        <w:tab w:val="right" w:pos="9360"/>
      </w:tabs>
    </w:pPr>
  </w:style>
  <w:style w:type="character" w:customStyle="1" w:styleId="HeaderChar">
    <w:name w:val="Header Char"/>
    <w:basedOn w:val="DefaultParagraphFont"/>
    <w:link w:val="Header"/>
    <w:rsid w:val="00B944D9"/>
    <w:rPr>
      <w:sz w:val="24"/>
      <w:szCs w:val="24"/>
    </w:rPr>
  </w:style>
  <w:style w:type="paragraph" w:styleId="Footer">
    <w:name w:val="footer"/>
    <w:basedOn w:val="Normal"/>
    <w:link w:val="FooterChar"/>
    <w:rsid w:val="00B944D9"/>
    <w:pPr>
      <w:tabs>
        <w:tab w:val="center" w:pos="4680"/>
        <w:tab w:val="right" w:pos="9360"/>
      </w:tabs>
    </w:pPr>
  </w:style>
  <w:style w:type="character" w:customStyle="1" w:styleId="FooterChar">
    <w:name w:val="Footer Char"/>
    <w:basedOn w:val="DefaultParagraphFont"/>
    <w:link w:val="Footer"/>
    <w:rsid w:val="00B944D9"/>
    <w:rPr>
      <w:sz w:val="24"/>
      <w:szCs w:val="24"/>
    </w:rPr>
  </w:style>
  <w:style w:type="character" w:styleId="Hyperlink">
    <w:name w:val="Hyperlink"/>
    <w:basedOn w:val="DefaultParagraphFont"/>
    <w:uiPriority w:val="99"/>
    <w:unhideWhenUsed/>
    <w:rsid w:val="00B944D9"/>
    <w:rPr>
      <w:color w:val="0000FF"/>
      <w:u w:val="single"/>
    </w:rPr>
  </w:style>
  <w:style w:type="character" w:styleId="CommentReference">
    <w:name w:val="annotation reference"/>
    <w:basedOn w:val="DefaultParagraphFont"/>
    <w:rsid w:val="00FC3BDA"/>
    <w:rPr>
      <w:sz w:val="16"/>
      <w:szCs w:val="16"/>
    </w:rPr>
  </w:style>
  <w:style w:type="paragraph" w:styleId="CommentText">
    <w:name w:val="annotation text"/>
    <w:basedOn w:val="Normal"/>
    <w:link w:val="CommentTextChar"/>
    <w:rsid w:val="00FC3BDA"/>
    <w:rPr>
      <w:rFonts w:ascii="Times" w:hAnsi="Times"/>
      <w:sz w:val="20"/>
      <w:szCs w:val="20"/>
    </w:rPr>
  </w:style>
  <w:style w:type="character" w:customStyle="1" w:styleId="CommentTextChar">
    <w:name w:val="Comment Text Char"/>
    <w:basedOn w:val="DefaultParagraphFont"/>
    <w:link w:val="CommentText"/>
    <w:rsid w:val="00FC3BDA"/>
    <w:rPr>
      <w:rFonts w:ascii="Times" w:hAnsi="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2D84"/>
    <w:rPr>
      <w:rFonts w:ascii="Tahoma" w:hAnsi="Tahoma" w:cs="Tahoma"/>
      <w:sz w:val="16"/>
      <w:szCs w:val="16"/>
    </w:rPr>
  </w:style>
  <w:style w:type="character" w:customStyle="1" w:styleId="BalloonTextChar">
    <w:name w:val="Balloon Text Char"/>
    <w:basedOn w:val="DefaultParagraphFont"/>
    <w:link w:val="BalloonText"/>
    <w:rsid w:val="008A2D84"/>
    <w:rPr>
      <w:rFonts w:ascii="Tahoma" w:hAnsi="Tahoma" w:cs="Tahoma"/>
      <w:sz w:val="16"/>
      <w:szCs w:val="16"/>
    </w:rPr>
  </w:style>
  <w:style w:type="paragraph" w:styleId="ListParagraph">
    <w:name w:val="List Paragraph"/>
    <w:basedOn w:val="Normal"/>
    <w:uiPriority w:val="34"/>
    <w:qFormat/>
    <w:rsid w:val="00802D46"/>
    <w:pPr>
      <w:ind w:left="720"/>
      <w:contextualSpacing/>
    </w:pPr>
  </w:style>
  <w:style w:type="paragraph" w:styleId="Header">
    <w:name w:val="header"/>
    <w:basedOn w:val="Normal"/>
    <w:link w:val="HeaderChar"/>
    <w:rsid w:val="00B944D9"/>
    <w:pPr>
      <w:tabs>
        <w:tab w:val="center" w:pos="4680"/>
        <w:tab w:val="right" w:pos="9360"/>
      </w:tabs>
    </w:pPr>
  </w:style>
  <w:style w:type="character" w:customStyle="1" w:styleId="HeaderChar">
    <w:name w:val="Header Char"/>
    <w:basedOn w:val="DefaultParagraphFont"/>
    <w:link w:val="Header"/>
    <w:rsid w:val="00B944D9"/>
    <w:rPr>
      <w:sz w:val="24"/>
      <w:szCs w:val="24"/>
    </w:rPr>
  </w:style>
  <w:style w:type="paragraph" w:styleId="Footer">
    <w:name w:val="footer"/>
    <w:basedOn w:val="Normal"/>
    <w:link w:val="FooterChar"/>
    <w:rsid w:val="00B944D9"/>
    <w:pPr>
      <w:tabs>
        <w:tab w:val="center" w:pos="4680"/>
        <w:tab w:val="right" w:pos="9360"/>
      </w:tabs>
    </w:pPr>
  </w:style>
  <w:style w:type="character" w:customStyle="1" w:styleId="FooterChar">
    <w:name w:val="Footer Char"/>
    <w:basedOn w:val="DefaultParagraphFont"/>
    <w:link w:val="Footer"/>
    <w:rsid w:val="00B944D9"/>
    <w:rPr>
      <w:sz w:val="24"/>
      <w:szCs w:val="24"/>
    </w:rPr>
  </w:style>
  <w:style w:type="character" w:styleId="Hyperlink">
    <w:name w:val="Hyperlink"/>
    <w:basedOn w:val="DefaultParagraphFont"/>
    <w:uiPriority w:val="99"/>
    <w:unhideWhenUsed/>
    <w:rsid w:val="00B944D9"/>
    <w:rPr>
      <w:color w:val="0000FF"/>
      <w:u w:val="single"/>
    </w:rPr>
  </w:style>
  <w:style w:type="character" w:styleId="CommentReference">
    <w:name w:val="annotation reference"/>
    <w:basedOn w:val="DefaultParagraphFont"/>
    <w:rsid w:val="00FC3BDA"/>
    <w:rPr>
      <w:sz w:val="16"/>
      <w:szCs w:val="16"/>
    </w:rPr>
  </w:style>
  <w:style w:type="paragraph" w:styleId="CommentText">
    <w:name w:val="annotation text"/>
    <w:basedOn w:val="Normal"/>
    <w:link w:val="CommentTextChar"/>
    <w:rsid w:val="00FC3BDA"/>
    <w:rPr>
      <w:rFonts w:ascii="Times" w:hAnsi="Times"/>
      <w:sz w:val="20"/>
      <w:szCs w:val="20"/>
    </w:rPr>
  </w:style>
  <w:style w:type="character" w:customStyle="1" w:styleId="CommentTextChar">
    <w:name w:val="Comment Text Char"/>
    <w:basedOn w:val="DefaultParagraphFont"/>
    <w:link w:val="CommentText"/>
    <w:rsid w:val="00FC3BDA"/>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ed.dartmouth-hitchcock.org/documents/Acknowledgement_of_Disclosure_to_Participants_08_16_2012.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med.dartmouth-hitchcock.org/cce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Dartmouth-Hitchcock Medical Center</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 Mantz</dc:creator>
  <cp:keywords/>
  <dc:description/>
  <cp:lastModifiedBy>Jody L. Bradford</cp:lastModifiedBy>
  <cp:revision>3</cp:revision>
  <cp:lastPrinted>2012-09-19T13:47:00Z</cp:lastPrinted>
  <dcterms:created xsi:type="dcterms:W3CDTF">2012-11-12T14:57:00Z</dcterms:created>
  <dcterms:modified xsi:type="dcterms:W3CDTF">2013-01-10T20:24:00Z</dcterms:modified>
</cp:coreProperties>
</file>