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8C779" w14:textId="2A7ED32C" w:rsidR="00D64019" w:rsidRDefault="00D64019">
      <w:pPr>
        <w:rPr>
          <w:rFonts w:ascii="Trebuchet MS" w:hAnsi="Trebuchet MS"/>
          <w:b/>
          <w:color w:val="086351"/>
          <w:spacing w:val="-3"/>
          <w:sz w:val="17"/>
          <w:szCs w:val="17"/>
          <w:u w:val="single"/>
        </w:rPr>
      </w:pPr>
    </w:p>
    <w:p w14:paraId="4CFDABD4" w14:textId="3454C743" w:rsidR="00072E9C" w:rsidRPr="005F7AA8" w:rsidRDefault="00072E9C" w:rsidP="005F7AA8">
      <w:pPr>
        <w:spacing w:after="80"/>
        <w:jc w:val="center"/>
        <w:rPr>
          <w:rFonts w:ascii="Trebuchet MS" w:hAnsi="Trebuchet MS"/>
          <w:b/>
          <w:color w:val="086351"/>
          <w:spacing w:val="-3"/>
          <w:sz w:val="20"/>
          <w:u w:val="single"/>
        </w:rPr>
      </w:pPr>
      <w:r w:rsidRPr="005F7AA8">
        <w:rPr>
          <w:rFonts w:ascii="Trebuchet MS" w:hAnsi="Trebuchet MS"/>
          <w:b/>
          <w:color w:val="086351"/>
          <w:spacing w:val="-3"/>
          <w:sz w:val="20"/>
          <w:u w:val="single"/>
        </w:rPr>
        <w:t>FINAN</w:t>
      </w:r>
      <w:r>
        <w:rPr>
          <w:rFonts w:ascii="Trebuchet MS" w:hAnsi="Trebuchet MS"/>
          <w:b/>
          <w:color w:val="086351"/>
          <w:spacing w:val="-3"/>
          <w:sz w:val="20"/>
          <w:u w:val="single"/>
        </w:rPr>
        <w:t>CIAL DISCLOSURE POLICY, DEFINITION, PROCESS</w:t>
      </w:r>
    </w:p>
    <w:p w14:paraId="0203E152" w14:textId="77777777" w:rsidR="005F7AA8" w:rsidRDefault="005F7AA8" w:rsidP="005F7AA8">
      <w:pPr>
        <w:rPr>
          <w:rFonts w:ascii="Trebuchet MS" w:hAnsi="Trebuchet MS"/>
          <w:spacing w:val="-3"/>
          <w:sz w:val="20"/>
        </w:rPr>
      </w:pPr>
      <w:bookmarkStart w:id="0" w:name="_COI_POLICY"/>
      <w:bookmarkEnd w:id="0"/>
    </w:p>
    <w:p w14:paraId="659992C0" w14:textId="62E00363" w:rsidR="004125CB" w:rsidRPr="00C32B04" w:rsidRDefault="0098644A" w:rsidP="00D64019">
      <w:pPr>
        <w:pStyle w:val="Heading1"/>
        <w:jc w:val="left"/>
        <w:rPr>
          <w:rFonts w:ascii="Trebuchet MS" w:hAnsi="Trebuchet MS"/>
          <w:color w:val="086351"/>
          <w:sz w:val="20"/>
        </w:rPr>
      </w:pPr>
      <w:r>
        <w:rPr>
          <w:rFonts w:ascii="Trebuchet MS" w:hAnsi="Trebuchet MS"/>
          <w:color w:val="086351"/>
          <w:sz w:val="20"/>
          <w:u w:val="single"/>
        </w:rPr>
        <w:t xml:space="preserve">FINANCIAL DISCLOSURE </w:t>
      </w:r>
      <w:r w:rsidR="00D64019" w:rsidRPr="00C32B04">
        <w:rPr>
          <w:rFonts w:ascii="Trebuchet MS" w:hAnsi="Trebuchet MS"/>
          <w:color w:val="086351"/>
          <w:sz w:val="20"/>
          <w:u w:val="single"/>
        </w:rPr>
        <w:t>POLICY</w:t>
      </w:r>
    </w:p>
    <w:p w14:paraId="02E94DC6" w14:textId="77777777" w:rsidR="00C32B04" w:rsidRPr="00226CD5" w:rsidRDefault="00C32B04" w:rsidP="00C32B04">
      <w:pPr>
        <w:rPr>
          <w:rFonts w:ascii="Trebuchet MS" w:hAnsi="Trebuchet MS"/>
          <w:spacing w:val="-3"/>
          <w:sz w:val="10"/>
          <w:szCs w:val="10"/>
        </w:rPr>
      </w:pPr>
    </w:p>
    <w:p w14:paraId="4937886C" w14:textId="0A631A18" w:rsidR="00B32615" w:rsidRDefault="00B32615" w:rsidP="00C32B04">
      <w:pPr>
        <w:rPr>
          <w:rFonts w:ascii="Trebuchet MS" w:hAnsi="Trebuchet MS"/>
          <w:spacing w:val="-3"/>
          <w:sz w:val="20"/>
        </w:rPr>
      </w:pPr>
      <w:r w:rsidRPr="00D64019">
        <w:rPr>
          <w:rFonts w:ascii="Trebuchet MS" w:hAnsi="Trebuchet MS"/>
          <w:spacing w:val="-3"/>
          <w:sz w:val="20"/>
        </w:rPr>
        <w:t>As providers accredited by the Accreditation Council for Continuing Medical Education (ACCME) and the American Nurses Credentialing Center (ANCC) Commission on Accreditation, Dartmouth</w:t>
      </w:r>
      <w:r w:rsidR="00C7610E">
        <w:rPr>
          <w:rFonts w:ascii="Trebuchet MS" w:hAnsi="Trebuchet MS"/>
          <w:spacing w:val="-3"/>
          <w:sz w:val="20"/>
        </w:rPr>
        <w:t xml:space="preserve"> Health</w:t>
      </w:r>
      <w:r w:rsidRPr="00D64019">
        <w:rPr>
          <w:rFonts w:ascii="Trebuchet MS" w:hAnsi="Trebuchet MS"/>
          <w:spacing w:val="-3"/>
          <w:sz w:val="20"/>
        </w:rPr>
        <w:t xml:space="preserve"> must insure balance, independence, objectivity, and scientific rigor in all its educational activities. Planning must be free of the influence or c</w:t>
      </w:r>
      <w:r w:rsidR="00C605AF" w:rsidRPr="00D64019">
        <w:rPr>
          <w:rFonts w:ascii="Trebuchet MS" w:hAnsi="Trebuchet MS"/>
          <w:spacing w:val="-3"/>
          <w:sz w:val="20"/>
        </w:rPr>
        <w:t>ontrol of an ineligible company^</w:t>
      </w:r>
      <w:r w:rsidRPr="00D64019">
        <w:rPr>
          <w:rFonts w:ascii="Trebuchet MS" w:hAnsi="Trebuchet MS"/>
          <w:spacing w:val="-3"/>
          <w:sz w:val="20"/>
        </w:rPr>
        <w:t xml:space="preserve">, and promote improvements or quality in healthcare. All scientific research used to support patient care recommendations must conform to generally accepted standards of experimental design, data collection, and analysis. </w:t>
      </w:r>
      <w:r w:rsidRPr="00D64019" w:rsidDel="00971BF2">
        <w:rPr>
          <w:rFonts w:ascii="Trebuchet MS" w:hAnsi="Trebuchet MS"/>
          <w:spacing w:val="-3"/>
          <w:sz w:val="20"/>
        </w:rPr>
        <w:t xml:space="preserve">Activity Director(s), Planning Committee Member(s), Speaker(s), Author(s) or Anyone in a Position to Control the Content are expected to disclose </w:t>
      </w:r>
      <w:r w:rsidR="0098644A">
        <w:rPr>
          <w:rFonts w:ascii="Trebuchet MS" w:hAnsi="Trebuchet MS"/>
          <w:spacing w:val="-3"/>
          <w:sz w:val="20"/>
        </w:rPr>
        <w:t>all financial relationships with ineligible companies^</w:t>
      </w:r>
      <w:r w:rsidR="00072E9C">
        <w:rPr>
          <w:rFonts w:ascii="Trebuchet MS" w:hAnsi="Trebuchet MS"/>
          <w:spacing w:val="-3"/>
          <w:sz w:val="20"/>
        </w:rPr>
        <w:t>. R</w:t>
      </w:r>
      <w:r w:rsidR="0098644A">
        <w:rPr>
          <w:rFonts w:ascii="Trebuchet MS" w:hAnsi="Trebuchet MS"/>
          <w:spacing w:val="-3"/>
          <w:sz w:val="20"/>
        </w:rPr>
        <w:t xml:space="preserve">elevant financial relationships must be mitigated </w:t>
      </w:r>
      <w:r w:rsidR="008E5C4A">
        <w:rPr>
          <w:rFonts w:ascii="Trebuchet MS" w:hAnsi="Trebuchet MS"/>
          <w:spacing w:val="-3"/>
          <w:sz w:val="20"/>
        </w:rPr>
        <w:t xml:space="preserve">and disclosed to learners prior to engaging in a learning activity. Anyone who refuses to disclose will be disqualified from participating in the activity. </w:t>
      </w:r>
    </w:p>
    <w:p w14:paraId="0345BEBD" w14:textId="77777777" w:rsidR="00D64019" w:rsidRPr="00226CD5" w:rsidRDefault="00D64019" w:rsidP="00CA5BA3">
      <w:pPr>
        <w:spacing w:after="80"/>
        <w:rPr>
          <w:rFonts w:ascii="Trebuchet MS" w:hAnsi="Trebuchet MS"/>
          <w:spacing w:val="-3"/>
          <w:sz w:val="16"/>
          <w:szCs w:val="16"/>
        </w:rPr>
      </w:pPr>
    </w:p>
    <w:p w14:paraId="23B24CEE" w14:textId="5CE83200" w:rsidR="00C32B04" w:rsidRPr="00C32B04" w:rsidRDefault="008E5C4A" w:rsidP="00C32B04">
      <w:pPr>
        <w:pStyle w:val="Heading1"/>
        <w:jc w:val="left"/>
        <w:rPr>
          <w:rFonts w:ascii="Trebuchet MS" w:hAnsi="Trebuchet MS"/>
          <w:color w:val="086351"/>
          <w:sz w:val="20"/>
          <w:u w:val="single"/>
        </w:rPr>
      </w:pPr>
      <w:bookmarkStart w:id="1" w:name="_COI_DEFINITION"/>
      <w:bookmarkEnd w:id="1"/>
      <w:r>
        <w:rPr>
          <w:rFonts w:ascii="Trebuchet MS" w:hAnsi="Trebuchet MS"/>
          <w:color w:val="086351"/>
          <w:sz w:val="20"/>
          <w:u w:val="single"/>
        </w:rPr>
        <w:t xml:space="preserve">RELEVANT </w:t>
      </w:r>
      <w:r w:rsidR="0098644A">
        <w:rPr>
          <w:rFonts w:ascii="Trebuchet MS" w:hAnsi="Trebuchet MS"/>
          <w:color w:val="086351"/>
          <w:sz w:val="20"/>
          <w:u w:val="single"/>
        </w:rPr>
        <w:t>FINANCIA</w:t>
      </w:r>
      <w:r>
        <w:rPr>
          <w:rFonts w:ascii="Trebuchet MS" w:hAnsi="Trebuchet MS"/>
          <w:color w:val="086351"/>
          <w:sz w:val="20"/>
          <w:u w:val="single"/>
        </w:rPr>
        <w:t>L RELATIONSHIP</w:t>
      </w:r>
      <w:r w:rsidR="0098644A">
        <w:rPr>
          <w:rFonts w:ascii="Trebuchet MS" w:hAnsi="Trebuchet MS"/>
          <w:color w:val="086351"/>
          <w:sz w:val="20"/>
          <w:u w:val="single"/>
        </w:rPr>
        <w:t xml:space="preserve"> </w:t>
      </w:r>
      <w:r w:rsidR="00C32B04" w:rsidRPr="00C32B04">
        <w:rPr>
          <w:rFonts w:ascii="Trebuchet MS" w:hAnsi="Trebuchet MS"/>
          <w:color w:val="086351"/>
          <w:sz w:val="20"/>
          <w:u w:val="single"/>
        </w:rPr>
        <w:t>DEFINITION</w:t>
      </w:r>
    </w:p>
    <w:p w14:paraId="78FA435E" w14:textId="77777777" w:rsidR="005F7AA8" w:rsidRPr="00226CD5" w:rsidRDefault="005F7AA8" w:rsidP="005F7AA8">
      <w:pPr>
        <w:rPr>
          <w:rFonts w:ascii="Trebuchet MS" w:hAnsi="Trebuchet MS"/>
          <w:spacing w:val="-3"/>
          <w:sz w:val="10"/>
          <w:szCs w:val="10"/>
        </w:rPr>
      </w:pPr>
    </w:p>
    <w:p w14:paraId="72796109" w14:textId="21832F4F" w:rsidR="00B32615" w:rsidRDefault="008E5C4A" w:rsidP="00C32B04">
      <w:pPr>
        <w:rPr>
          <w:rFonts w:ascii="Trebuchet MS" w:hAnsi="Trebuchet MS"/>
          <w:spacing w:val="-4"/>
          <w:sz w:val="20"/>
        </w:rPr>
      </w:pPr>
      <w:r>
        <w:rPr>
          <w:rFonts w:ascii="Trebuchet MS" w:hAnsi="Trebuchet MS"/>
          <w:spacing w:val="-4"/>
          <w:sz w:val="20"/>
        </w:rPr>
        <w:t xml:space="preserve">A relevant financial relationship </w:t>
      </w:r>
      <w:r w:rsidR="00B32615" w:rsidRPr="00D64019">
        <w:rPr>
          <w:rFonts w:ascii="Trebuchet MS" w:hAnsi="Trebuchet MS"/>
          <w:spacing w:val="-4"/>
          <w:sz w:val="20"/>
        </w:rPr>
        <w:t xml:space="preserve">is created when </w:t>
      </w:r>
      <w:r w:rsidR="00B32615" w:rsidRPr="00D64019">
        <w:rPr>
          <w:rFonts w:ascii="Trebuchet MS" w:hAnsi="Trebuchet MS"/>
          <w:spacing w:val="-4"/>
          <w:sz w:val="20"/>
          <w:u w:val="single"/>
        </w:rPr>
        <w:t>individuals in a position to control the content</w:t>
      </w:r>
      <w:r w:rsidR="00B32615" w:rsidRPr="00D64019">
        <w:rPr>
          <w:rFonts w:ascii="Trebuchet MS" w:hAnsi="Trebuchet MS"/>
          <w:spacing w:val="-4"/>
          <w:sz w:val="20"/>
        </w:rPr>
        <w:t xml:space="preserve"> of the continuing education </w:t>
      </w:r>
      <w:r w:rsidR="00C32B04">
        <w:rPr>
          <w:rFonts w:ascii="Trebuchet MS" w:hAnsi="Trebuchet MS"/>
          <w:spacing w:val="-4"/>
          <w:sz w:val="20"/>
        </w:rPr>
        <w:t>activity</w:t>
      </w:r>
      <w:r w:rsidR="00B32615" w:rsidRPr="00D64019">
        <w:rPr>
          <w:rFonts w:ascii="Trebuchet MS" w:hAnsi="Trebuchet MS"/>
          <w:spacing w:val="-4"/>
          <w:sz w:val="20"/>
        </w:rPr>
        <w:t xml:space="preserve"> have a </w:t>
      </w:r>
      <w:r>
        <w:rPr>
          <w:rFonts w:ascii="Trebuchet MS" w:hAnsi="Trebuchet MS"/>
          <w:spacing w:val="-4"/>
          <w:sz w:val="20"/>
        </w:rPr>
        <w:t xml:space="preserve">financial </w:t>
      </w:r>
      <w:r w:rsidR="00B32615" w:rsidRPr="00D64019">
        <w:rPr>
          <w:rFonts w:ascii="Trebuchet MS" w:hAnsi="Trebuchet MS"/>
          <w:spacing w:val="-4"/>
          <w:sz w:val="20"/>
        </w:rPr>
        <w:t xml:space="preserve">relationship with an </w:t>
      </w:r>
      <w:r w:rsidR="00C32B04">
        <w:rPr>
          <w:rFonts w:ascii="Trebuchet MS" w:hAnsi="Trebuchet MS"/>
          <w:spacing w:val="-3"/>
          <w:sz w:val="20"/>
        </w:rPr>
        <w:t>ineligible company^</w:t>
      </w:r>
      <w:r w:rsidR="00B32615" w:rsidRPr="00D64019">
        <w:rPr>
          <w:rFonts w:ascii="Trebuchet MS" w:hAnsi="Trebuchet MS"/>
          <w:spacing w:val="-3"/>
          <w:sz w:val="20"/>
        </w:rPr>
        <w:t xml:space="preserve"> </w:t>
      </w:r>
      <w:r w:rsidR="00B32615" w:rsidRPr="00D64019">
        <w:rPr>
          <w:rFonts w:ascii="Trebuchet MS" w:hAnsi="Trebuchet MS"/>
          <w:spacing w:val="-4"/>
          <w:sz w:val="20"/>
        </w:rPr>
        <w:t xml:space="preserve">(a) that benefits the individual in </w:t>
      </w:r>
      <w:r w:rsidR="00B32615" w:rsidRPr="00D64019">
        <w:rPr>
          <w:rFonts w:ascii="Trebuchet MS" w:hAnsi="Trebuchet MS"/>
          <w:spacing w:val="-4"/>
          <w:sz w:val="20"/>
          <w:u w:val="single"/>
        </w:rPr>
        <w:t>any</w:t>
      </w:r>
      <w:r w:rsidR="00B32615" w:rsidRPr="00D64019">
        <w:rPr>
          <w:rFonts w:ascii="Trebuchet MS" w:hAnsi="Trebuchet MS"/>
          <w:spacing w:val="-4"/>
          <w:sz w:val="20"/>
        </w:rPr>
        <w:t xml:space="preserve"> financial amount and (b) that has occurred within the past 24 months,</w:t>
      </w:r>
      <w:r w:rsidR="005F7AA8">
        <w:rPr>
          <w:rFonts w:ascii="Trebuchet MS" w:hAnsi="Trebuchet MS"/>
          <w:spacing w:val="-4"/>
          <w:sz w:val="20"/>
        </w:rPr>
        <w:t xml:space="preserve"> </w:t>
      </w:r>
      <w:r w:rsidR="00B32615" w:rsidRPr="00D64019">
        <w:rPr>
          <w:rFonts w:ascii="Trebuchet MS" w:hAnsi="Trebuchet MS"/>
          <w:spacing w:val="-4"/>
          <w:sz w:val="20"/>
        </w:rPr>
        <w:t>therefore may bias their opinions and teachings. This may include receiving a salary, royalty, intellectual property rights, consulting fee, honoraria, ownership interest (e.g.</w:t>
      </w:r>
      <w:r w:rsidR="00C32B04">
        <w:rPr>
          <w:rFonts w:ascii="Trebuchet MS" w:hAnsi="Trebuchet MS"/>
          <w:spacing w:val="-4"/>
          <w:sz w:val="20"/>
        </w:rPr>
        <w:t>,</w:t>
      </w:r>
      <w:r w:rsidR="00B32615" w:rsidRPr="00D64019">
        <w:rPr>
          <w:rFonts w:ascii="Trebuchet MS" w:hAnsi="Trebuchet MS"/>
          <w:spacing w:val="-4"/>
          <w:sz w:val="20"/>
        </w:rPr>
        <w:t xml:space="preserve"> stocks, stock options or other ownership interest, excluding diversified mutual funds), or other financial benefit. Financial benefits are usually associated with roles such as employment, management position, independent contractor (including contracted research and clinical trials), consulting, speaking and teaching, membership on advisory committees or review panels, board membership, and other activities for which remuneration is received or expected.</w:t>
      </w:r>
    </w:p>
    <w:p w14:paraId="420CB360" w14:textId="77777777" w:rsidR="00C32B04" w:rsidRPr="00226CD5" w:rsidRDefault="00C32B04" w:rsidP="00C32B04">
      <w:pPr>
        <w:rPr>
          <w:rFonts w:ascii="Trebuchet MS" w:hAnsi="Trebuchet MS"/>
          <w:spacing w:val="-3"/>
          <w:sz w:val="16"/>
          <w:szCs w:val="16"/>
        </w:rPr>
      </w:pPr>
    </w:p>
    <w:p w14:paraId="00AEBE95" w14:textId="7F84956A" w:rsidR="00C32B04" w:rsidRDefault="008E5C4A" w:rsidP="00C32B04">
      <w:pPr>
        <w:pStyle w:val="Heading1"/>
        <w:jc w:val="left"/>
        <w:rPr>
          <w:rFonts w:ascii="Trebuchet MS" w:hAnsi="Trebuchet MS"/>
          <w:color w:val="086351"/>
          <w:sz w:val="20"/>
          <w:u w:val="single"/>
        </w:rPr>
      </w:pPr>
      <w:bookmarkStart w:id="2" w:name="_COI_PROCESS"/>
      <w:bookmarkEnd w:id="2"/>
      <w:r>
        <w:rPr>
          <w:rFonts w:ascii="Trebuchet MS" w:hAnsi="Trebuchet MS"/>
          <w:color w:val="086351"/>
          <w:sz w:val="20"/>
          <w:u w:val="single"/>
        </w:rPr>
        <w:t xml:space="preserve">FINANCIAL DISCLOSURE </w:t>
      </w:r>
      <w:r w:rsidR="00B32615" w:rsidRPr="00C32B04">
        <w:rPr>
          <w:rFonts w:ascii="Trebuchet MS" w:hAnsi="Trebuchet MS"/>
          <w:color w:val="086351"/>
          <w:sz w:val="20"/>
          <w:u w:val="single"/>
        </w:rPr>
        <w:t>PROCESS</w:t>
      </w:r>
    </w:p>
    <w:p w14:paraId="33F75C31" w14:textId="77777777" w:rsidR="005F7AA8" w:rsidRPr="00226CD5" w:rsidRDefault="005F7AA8" w:rsidP="005F7AA8">
      <w:pPr>
        <w:rPr>
          <w:rFonts w:ascii="Trebuchet MS" w:hAnsi="Trebuchet MS"/>
          <w:spacing w:val="-3"/>
          <w:sz w:val="10"/>
          <w:szCs w:val="10"/>
        </w:rPr>
      </w:pPr>
    </w:p>
    <w:p w14:paraId="358C9340" w14:textId="68FBDE11" w:rsidR="00B32615" w:rsidRDefault="00B32615" w:rsidP="00C32B04">
      <w:pPr>
        <w:rPr>
          <w:rFonts w:ascii="Trebuchet MS" w:hAnsi="Trebuchet MS"/>
          <w:spacing w:val="-3"/>
          <w:sz w:val="20"/>
        </w:rPr>
      </w:pPr>
      <w:r w:rsidRPr="00D64019">
        <w:rPr>
          <w:rFonts w:ascii="Trebuchet MS" w:hAnsi="Trebuchet MS"/>
          <w:sz w:val="20"/>
        </w:rPr>
        <w:t>A</w:t>
      </w:r>
      <w:r w:rsidR="008E5C4A">
        <w:rPr>
          <w:rFonts w:ascii="Trebuchet MS" w:hAnsi="Trebuchet MS"/>
          <w:sz w:val="20"/>
        </w:rPr>
        <w:t>n a</w:t>
      </w:r>
      <w:r w:rsidRPr="00D64019">
        <w:rPr>
          <w:rFonts w:ascii="Trebuchet MS" w:hAnsi="Trebuchet MS"/>
          <w:sz w:val="20"/>
        </w:rPr>
        <w:t>uthorized</w:t>
      </w:r>
      <w:r w:rsidR="00D41723">
        <w:rPr>
          <w:rFonts w:ascii="Trebuchet MS" w:hAnsi="Trebuchet MS"/>
          <w:sz w:val="20"/>
        </w:rPr>
        <w:t xml:space="preserve"> person </w:t>
      </w:r>
      <w:r w:rsidR="00D41723">
        <w:rPr>
          <w:rFonts w:ascii="Trebuchet MS" w:hAnsi="Trebuchet MS"/>
          <w:b/>
          <w:sz w:val="20"/>
        </w:rPr>
        <w:t xml:space="preserve">(Activity Director, </w:t>
      </w:r>
      <w:r w:rsidR="003A2BBE" w:rsidRPr="003A2BBE">
        <w:rPr>
          <w:rFonts w:ascii="Trebuchet MS" w:hAnsi="Trebuchet MS"/>
          <w:b/>
          <w:sz w:val="20"/>
        </w:rPr>
        <w:t>Medical Director IPCE/Associate Dean CME</w:t>
      </w:r>
      <w:r w:rsidR="00D41723">
        <w:rPr>
          <w:rFonts w:ascii="Trebuchet MS" w:hAnsi="Trebuchet MS"/>
          <w:b/>
          <w:sz w:val="20"/>
        </w:rPr>
        <w:t>, Vice President CLPD, CNE Director, Nurse Planner, appointed Geisel faculty)</w:t>
      </w:r>
      <w:r w:rsidRPr="00D64019">
        <w:rPr>
          <w:rFonts w:ascii="Trebuchet MS" w:hAnsi="Trebuchet MS"/>
          <w:sz w:val="20"/>
        </w:rPr>
        <w:t xml:space="preserve"> will </w:t>
      </w:r>
      <w:r w:rsidRPr="00D64019">
        <w:rPr>
          <w:rFonts w:ascii="Trebuchet MS" w:hAnsi="Trebuchet MS"/>
          <w:b/>
          <w:sz w:val="20"/>
          <w:u w:val="single"/>
        </w:rPr>
        <w:t xml:space="preserve">identify, review and </w:t>
      </w:r>
      <w:r w:rsidR="00C32B04">
        <w:rPr>
          <w:rFonts w:ascii="Trebuchet MS" w:hAnsi="Trebuchet MS"/>
          <w:b/>
          <w:sz w:val="20"/>
          <w:u w:val="single"/>
        </w:rPr>
        <w:t xml:space="preserve">mitigate </w:t>
      </w:r>
      <w:r w:rsidRPr="00D64019">
        <w:rPr>
          <w:rFonts w:ascii="Trebuchet MS" w:hAnsi="Trebuchet MS"/>
          <w:b/>
          <w:sz w:val="20"/>
          <w:u w:val="single"/>
        </w:rPr>
        <w:t xml:space="preserve">all </w:t>
      </w:r>
      <w:r w:rsidR="008E5C4A">
        <w:rPr>
          <w:rFonts w:ascii="Trebuchet MS" w:hAnsi="Trebuchet MS"/>
          <w:b/>
          <w:sz w:val="20"/>
          <w:u w:val="single"/>
        </w:rPr>
        <w:t>relevant financial relationships</w:t>
      </w:r>
      <w:r w:rsidR="008E5C4A" w:rsidRPr="005F7AA8">
        <w:rPr>
          <w:rFonts w:ascii="Trebuchet MS" w:hAnsi="Trebuchet MS"/>
          <w:b/>
          <w:sz w:val="20"/>
        </w:rPr>
        <w:t xml:space="preserve"> </w:t>
      </w:r>
      <w:r w:rsidR="00C32B04">
        <w:rPr>
          <w:rFonts w:ascii="Trebuchet MS" w:hAnsi="Trebuchet MS"/>
          <w:sz w:val="20"/>
        </w:rPr>
        <w:t>that Activity</w:t>
      </w:r>
      <w:r w:rsidRPr="00D64019">
        <w:rPr>
          <w:rFonts w:ascii="Trebuchet MS" w:hAnsi="Trebuchet MS"/>
          <w:sz w:val="20"/>
        </w:rPr>
        <w:t xml:space="preserve"> Director(s), Planning Committee Member(s), Speaker(s), Author(s) or Anyone in a </w:t>
      </w:r>
      <w:r w:rsidRPr="00D64019">
        <w:rPr>
          <w:rFonts w:ascii="Trebuchet MS" w:hAnsi="Trebuchet MS"/>
          <w:spacing w:val="-3"/>
          <w:sz w:val="20"/>
        </w:rPr>
        <w:t xml:space="preserve">Position to Control the Content disclose </w:t>
      </w:r>
      <w:r w:rsidRPr="00D64019">
        <w:rPr>
          <w:rFonts w:ascii="Trebuchet MS" w:hAnsi="Trebuchet MS"/>
          <w:b/>
          <w:spacing w:val="-3"/>
          <w:sz w:val="20"/>
        </w:rPr>
        <w:t>prior</w:t>
      </w:r>
      <w:r w:rsidRPr="00D64019">
        <w:rPr>
          <w:rFonts w:ascii="Trebuchet MS" w:hAnsi="Trebuchet MS"/>
          <w:spacing w:val="-3"/>
          <w:sz w:val="20"/>
        </w:rPr>
        <w:t xml:space="preserve"> to an educational activity being delivered to learners. </w:t>
      </w:r>
    </w:p>
    <w:p w14:paraId="23B86D0C" w14:textId="753C34A1" w:rsidR="004A32AC" w:rsidRPr="00226CD5" w:rsidRDefault="004A32AC" w:rsidP="00C32B04">
      <w:pPr>
        <w:rPr>
          <w:rFonts w:ascii="Trebuchet MS" w:hAnsi="Trebuchet MS"/>
          <w:spacing w:val="-3"/>
          <w:sz w:val="16"/>
          <w:szCs w:val="16"/>
        </w:rPr>
      </w:pPr>
    </w:p>
    <w:p w14:paraId="21BC0B70" w14:textId="00F7B998" w:rsidR="004A32AC" w:rsidRPr="004A32AC" w:rsidRDefault="004A32AC" w:rsidP="004A32AC">
      <w:pPr>
        <w:pStyle w:val="Heading1"/>
        <w:jc w:val="left"/>
        <w:rPr>
          <w:rFonts w:ascii="Trebuchet MS" w:hAnsi="Trebuchet MS"/>
          <w:color w:val="086351"/>
          <w:sz w:val="20"/>
          <w:u w:val="single"/>
        </w:rPr>
      </w:pPr>
      <w:bookmarkStart w:id="3" w:name="_INELIGIBLE_COMPANY^"/>
      <w:bookmarkEnd w:id="3"/>
      <w:r w:rsidRPr="004A32AC">
        <w:rPr>
          <w:rFonts w:ascii="Trebuchet MS" w:hAnsi="Trebuchet MS"/>
          <w:color w:val="086351"/>
          <w:sz w:val="20"/>
          <w:u w:val="single"/>
        </w:rPr>
        <w:t>INELIGIBLE COMPANY</w:t>
      </w:r>
      <w:r w:rsidR="00A559AC">
        <w:rPr>
          <w:rFonts w:ascii="Trebuchet MS" w:hAnsi="Trebuchet MS"/>
          <w:color w:val="086351"/>
          <w:sz w:val="20"/>
          <w:u w:val="single"/>
        </w:rPr>
        <w:t>^</w:t>
      </w:r>
    </w:p>
    <w:p w14:paraId="3398A522" w14:textId="77777777" w:rsidR="005F7AA8" w:rsidRPr="00226CD5" w:rsidRDefault="005F7AA8" w:rsidP="005F7AA8">
      <w:pPr>
        <w:rPr>
          <w:rFonts w:ascii="Trebuchet MS" w:hAnsi="Trebuchet MS"/>
          <w:spacing w:val="-3"/>
          <w:sz w:val="10"/>
          <w:szCs w:val="10"/>
        </w:rPr>
      </w:pPr>
    </w:p>
    <w:p w14:paraId="5A2D8B79" w14:textId="7F32414D" w:rsidR="004A32AC" w:rsidRDefault="004A32AC" w:rsidP="00E7062B">
      <w:pPr>
        <w:tabs>
          <w:tab w:val="left" w:pos="360"/>
          <w:tab w:val="left" w:pos="5040"/>
          <w:tab w:val="left" w:pos="5310"/>
        </w:tabs>
        <w:rPr>
          <w:rFonts w:ascii="Trebuchet MS" w:hAnsi="Trebuchet MS"/>
          <w:sz w:val="20"/>
        </w:rPr>
      </w:pPr>
      <w:r w:rsidRPr="004A32AC">
        <w:rPr>
          <w:rFonts w:ascii="Trebuchet MS" w:hAnsi="Trebuchet MS"/>
          <w:iCs/>
          <w:sz w:val="20"/>
        </w:rPr>
        <w:t xml:space="preserve">An </w:t>
      </w:r>
      <w:r w:rsidRPr="004A32AC">
        <w:rPr>
          <w:rFonts w:ascii="Trebuchet MS" w:hAnsi="Trebuchet MS"/>
          <w:b/>
          <w:iCs/>
          <w:sz w:val="20"/>
        </w:rPr>
        <w:t>ineligible company</w:t>
      </w:r>
      <w:r w:rsidRPr="004A32AC">
        <w:rPr>
          <w:rFonts w:ascii="Trebuchet MS" w:hAnsi="Trebuchet MS"/>
          <w:iCs/>
          <w:sz w:val="20"/>
        </w:rPr>
        <w:t xml:space="preserve"> is any entity whose primary business is producing, marketing, selling, re-selling, or distributing healthcare products used by or on patients</w:t>
      </w:r>
      <w:r w:rsidR="00E7062B">
        <w:rPr>
          <w:rFonts w:ascii="Trebuchet MS" w:hAnsi="Trebuchet MS"/>
          <w:iCs/>
          <w:sz w:val="20"/>
        </w:rPr>
        <w:t xml:space="preserve">. </w:t>
      </w:r>
    </w:p>
    <w:p w14:paraId="46001CFC" w14:textId="0D64CCB0" w:rsidR="00E56EF6" w:rsidRDefault="00E56EF6" w:rsidP="00E7062B">
      <w:pPr>
        <w:tabs>
          <w:tab w:val="left" w:pos="360"/>
          <w:tab w:val="left" w:pos="5040"/>
          <w:tab w:val="left" w:pos="5310"/>
        </w:tabs>
        <w:rPr>
          <w:rFonts w:ascii="Trebuchet MS" w:hAnsi="Trebuchet MS"/>
          <w:sz w:val="20"/>
        </w:rPr>
      </w:pPr>
    </w:p>
    <w:p w14:paraId="6F0D26F2" w14:textId="3C110DD7" w:rsidR="00E56EF6" w:rsidRDefault="00E56EF6" w:rsidP="00E7062B">
      <w:pPr>
        <w:tabs>
          <w:tab w:val="left" w:pos="360"/>
          <w:tab w:val="left" w:pos="5040"/>
          <w:tab w:val="left" w:pos="5310"/>
        </w:tabs>
        <w:rPr>
          <w:rFonts w:ascii="Trebuchet MS" w:hAnsi="Trebuchet MS"/>
          <w:sz w:val="20"/>
        </w:rPr>
      </w:pPr>
      <w:r>
        <w:rPr>
          <w:rFonts w:ascii="Trebuchet MS" w:hAnsi="Trebuchet MS"/>
          <w:sz w:val="20"/>
        </w:rPr>
        <w:t>Specific examples of ineligible companies include:</w:t>
      </w:r>
    </w:p>
    <w:p w14:paraId="68691A0C"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Advertising, marketing, or communication firms whose clients are ineligible companies</w:t>
      </w:r>
    </w:p>
    <w:p w14:paraId="23193247"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Bio-medical startups that have begun a governmental regulatory approval process</w:t>
      </w:r>
    </w:p>
    <w:p w14:paraId="18AA8132"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Compounding pharmacies that manufacture proprietary compounds</w:t>
      </w:r>
    </w:p>
    <w:p w14:paraId="602B25DE"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Device manufacturers or distributors</w:t>
      </w:r>
    </w:p>
    <w:p w14:paraId="72589328"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Diagnostic labs that sell proprietary products</w:t>
      </w:r>
    </w:p>
    <w:p w14:paraId="4B1259BF"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Growers, distributors, manufacturers or sellers of medical foods and dietary supplements</w:t>
      </w:r>
    </w:p>
    <w:p w14:paraId="1A09C3BD"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Manufacturers of health-related wearable products</w:t>
      </w:r>
    </w:p>
    <w:p w14:paraId="03A6EADA"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Pharmaceutical companies or distributors</w:t>
      </w:r>
    </w:p>
    <w:p w14:paraId="358C61B9" w14:textId="77777777"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Pharmacy benefit managers</w:t>
      </w:r>
    </w:p>
    <w:p w14:paraId="754CD1E9" w14:textId="5511920B" w:rsidR="00E56EF6" w:rsidRPr="00E56EF6" w:rsidRDefault="00E56EF6" w:rsidP="00E56EF6">
      <w:pPr>
        <w:numPr>
          <w:ilvl w:val="0"/>
          <w:numId w:val="14"/>
        </w:numPr>
        <w:shd w:val="clear" w:color="auto" w:fill="FFFFFF"/>
        <w:rPr>
          <w:rFonts w:ascii="Trebuchet MS" w:hAnsi="Trebuchet MS" w:cs="Arial"/>
          <w:spacing w:val="6"/>
          <w:sz w:val="20"/>
        </w:rPr>
      </w:pPr>
      <w:r w:rsidRPr="00E56EF6">
        <w:rPr>
          <w:rFonts w:ascii="Trebuchet MS" w:hAnsi="Trebuchet MS" w:cs="Arial"/>
          <w:spacing w:val="6"/>
          <w:sz w:val="20"/>
        </w:rPr>
        <w:t>Reagent manufacturers or sellers</w:t>
      </w:r>
    </w:p>
    <w:p w14:paraId="0C740697" w14:textId="77777777" w:rsidR="004A32AC" w:rsidRPr="00226CD5" w:rsidRDefault="004A32AC" w:rsidP="00C32B04">
      <w:pPr>
        <w:tabs>
          <w:tab w:val="left" w:pos="360"/>
          <w:tab w:val="left" w:pos="5040"/>
          <w:tab w:val="left" w:pos="5310"/>
        </w:tabs>
        <w:rPr>
          <w:rFonts w:ascii="Trebuchet MS" w:hAnsi="Trebuchet MS"/>
          <w:sz w:val="16"/>
          <w:szCs w:val="16"/>
        </w:rPr>
      </w:pPr>
    </w:p>
    <w:p w14:paraId="5D157D3B" w14:textId="2A8E2141" w:rsidR="00A559AC" w:rsidRPr="00A559AC" w:rsidRDefault="00A559AC" w:rsidP="00A559AC">
      <w:pPr>
        <w:pStyle w:val="Heading1"/>
        <w:jc w:val="left"/>
        <w:rPr>
          <w:rFonts w:ascii="Trebuchet MS" w:hAnsi="Trebuchet MS"/>
          <w:color w:val="086351"/>
          <w:sz w:val="20"/>
          <w:u w:val="single"/>
        </w:rPr>
      </w:pPr>
      <w:bookmarkStart w:id="4" w:name="_FOR_MORE_INFORMATION"/>
      <w:bookmarkEnd w:id="4"/>
      <w:r w:rsidRPr="00A559AC">
        <w:rPr>
          <w:rFonts w:ascii="Trebuchet MS" w:hAnsi="Trebuchet MS"/>
          <w:color w:val="086351"/>
          <w:sz w:val="20"/>
          <w:u w:val="single"/>
        </w:rPr>
        <w:t xml:space="preserve">FOR MORE INFORMATION </w:t>
      </w:r>
    </w:p>
    <w:p w14:paraId="632FA107" w14:textId="77777777" w:rsidR="00A559AC" w:rsidRPr="00226CD5" w:rsidRDefault="00A559AC" w:rsidP="00C32B04">
      <w:pPr>
        <w:tabs>
          <w:tab w:val="left" w:pos="360"/>
          <w:tab w:val="left" w:pos="5040"/>
          <w:tab w:val="left" w:pos="5310"/>
        </w:tabs>
        <w:rPr>
          <w:rFonts w:ascii="Trebuchet MS" w:hAnsi="Trebuchet MS"/>
          <w:sz w:val="10"/>
          <w:szCs w:val="10"/>
        </w:rPr>
      </w:pPr>
      <w:bookmarkStart w:id="5" w:name="_GoBack"/>
    </w:p>
    <w:bookmarkEnd w:id="5"/>
    <w:p w14:paraId="76960C3D" w14:textId="3FDF28D9" w:rsidR="00A559AC" w:rsidRDefault="00A559AC" w:rsidP="00C32B04">
      <w:pPr>
        <w:tabs>
          <w:tab w:val="left" w:pos="360"/>
          <w:tab w:val="left" w:pos="5040"/>
          <w:tab w:val="left" w:pos="5310"/>
        </w:tabs>
        <w:rPr>
          <w:rFonts w:ascii="Trebuchet MS" w:hAnsi="Trebuchet MS"/>
          <w:sz w:val="20"/>
        </w:rPr>
      </w:pPr>
      <w:r>
        <w:rPr>
          <w:rFonts w:ascii="Trebuchet MS" w:hAnsi="Trebuchet MS"/>
          <w:sz w:val="20"/>
        </w:rPr>
        <w:t xml:space="preserve">Visit </w:t>
      </w:r>
      <w:r w:rsidR="00B32615" w:rsidRPr="00D64019">
        <w:rPr>
          <w:rFonts w:ascii="Trebuchet MS" w:hAnsi="Trebuchet MS"/>
          <w:sz w:val="20"/>
        </w:rPr>
        <w:t>the Standards for Integrity and Independence in A</w:t>
      </w:r>
      <w:r>
        <w:rPr>
          <w:rFonts w:ascii="Trebuchet MS" w:hAnsi="Trebuchet MS"/>
          <w:sz w:val="20"/>
        </w:rPr>
        <w:t>ccredited Continuing Education</w:t>
      </w:r>
      <w:r w:rsidR="00E7062B">
        <w:rPr>
          <w:rFonts w:ascii="Trebuchet MS" w:hAnsi="Trebuchet MS"/>
          <w:sz w:val="20"/>
        </w:rPr>
        <w:t xml:space="preserve"> at</w:t>
      </w:r>
      <w:r w:rsidR="0040384B" w:rsidRPr="00D64019">
        <w:rPr>
          <w:rFonts w:ascii="Trebuchet MS" w:hAnsi="Trebuchet MS"/>
          <w:sz w:val="20"/>
        </w:rPr>
        <w:t xml:space="preserve"> </w:t>
      </w:r>
      <w:hyperlink r:id="rId8" w:history="1">
        <w:r w:rsidR="00F715BB" w:rsidRPr="00ED0371">
          <w:rPr>
            <w:rStyle w:val="Hyperlink"/>
            <w:rFonts w:ascii="Trebuchet MS" w:hAnsi="Trebuchet MS"/>
            <w:sz w:val="20"/>
          </w:rPr>
          <w:t>https://accme.org/accreditation-rules/standards-for-integrity-independence-accredited-ce</w:t>
        </w:r>
      </w:hyperlink>
    </w:p>
    <w:p w14:paraId="12B33B54" w14:textId="77777777" w:rsidR="00A559AC" w:rsidRDefault="00A559AC" w:rsidP="00C32B04">
      <w:pPr>
        <w:tabs>
          <w:tab w:val="left" w:pos="360"/>
          <w:tab w:val="left" w:pos="5040"/>
          <w:tab w:val="left" w:pos="5310"/>
        </w:tabs>
        <w:rPr>
          <w:rFonts w:ascii="Trebuchet MS" w:hAnsi="Trebuchet MS"/>
          <w:sz w:val="20"/>
        </w:rPr>
      </w:pPr>
    </w:p>
    <w:p w14:paraId="7199F01E" w14:textId="430C0905" w:rsidR="00B32615" w:rsidRPr="00CA5BA3" w:rsidRDefault="00B32615" w:rsidP="001D3B35">
      <w:pPr>
        <w:tabs>
          <w:tab w:val="left" w:pos="360"/>
          <w:tab w:val="left" w:pos="5040"/>
          <w:tab w:val="left" w:pos="5310"/>
        </w:tabs>
        <w:rPr>
          <w:rFonts w:ascii="Trebuchet MS" w:hAnsi="Trebuchet MS"/>
          <w:sz w:val="17"/>
          <w:szCs w:val="17"/>
        </w:rPr>
      </w:pPr>
      <w:r w:rsidRPr="00D64019">
        <w:rPr>
          <w:rFonts w:ascii="Trebuchet MS" w:hAnsi="Trebuchet MS"/>
          <w:sz w:val="20"/>
        </w:rPr>
        <w:t xml:space="preserve">Why do we collect this information? Since healthcare professionals serve as the trusted authorities when advising patients, they must protect their learning environment from industry influence to ensure they remain true to their ethical commitments. Many healthcare professionals have financial relationships with ineligible companies. By identifying and mitigating relevant financial relationships, we work together to create a protected space to learn, teach, and engage in scientific discourse free from influence from organizations that may have an incentive to insert commercial bias into education. </w:t>
      </w:r>
    </w:p>
    <w:sectPr w:rsidR="00B32615" w:rsidRPr="00CA5BA3" w:rsidSect="00046AA8">
      <w:headerReference w:type="default" r:id="rId9"/>
      <w:footerReference w:type="default" r:id="rId10"/>
      <w:pgSz w:w="12240" w:h="15840"/>
      <w:pgMar w:top="720" w:right="720" w:bottom="216" w:left="634"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E3EDA" w14:textId="77777777" w:rsidR="00FC03DC" w:rsidRDefault="00FC03DC">
      <w:r>
        <w:separator/>
      </w:r>
    </w:p>
  </w:endnote>
  <w:endnote w:type="continuationSeparator" w:id="0">
    <w:p w14:paraId="67F4E06D" w14:textId="77777777" w:rsidR="00FC03DC" w:rsidRDefault="00FC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4ADA" w14:textId="6F015EC5" w:rsidR="00072E9C" w:rsidRPr="00046AA8" w:rsidRDefault="00072E9C">
    <w:pPr>
      <w:pStyle w:val="Footer"/>
      <w:rPr>
        <w:rFonts w:ascii="Trebuchet MS" w:hAnsi="Trebuchet MS"/>
        <w:sz w:val="12"/>
        <w:szCs w:val="12"/>
      </w:rPr>
    </w:pPr>
    <w:r>
      <w:rPr>
        <w:rFonts w:ascii="Trebuchet MS" w:hAnsi="Trebuchet MS"/>
        <w:sz w:val="12"/>
        <w:szCs w:val="12"/>
      </w:rPr>
      <w:t>R</w:t>
    </w:r>
    <w:r w:rsidR="005F7AA8">
      <w:rPr>
        <w:rFonts w:ascii="Trebuchet MS" w:hAnsi="Trebuchet MS"/>
        <w:sz w:val="12"/>
        <w:szCs w:val="12"/>
      </w:rPr>
      <w:t xml:space="preserve">ev. </w:t>
    </w:r>
    <w:r w:rsidR="00C7610E">
      <w:rPr>
        <w:rFonts w:ascii="Trebuchet MS" w:hAnsi="Trebuchet MS"/>
        <w:sz w:val="12"/>
        <w:szCs w:val="12"/>
      </w:rPr>
      <w:t>9/2022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895B4" w14:textId="77777777" w:rsidR="00FC03DC" w:rsidRDefault="00FC03DC">
      <w:r>
        <w:separator/>
      </w:r>
    </w:p>
  </w:footnote>
  <w:footnote w:type="continuationSeparator" w:id="0">
    <w:p w14:paraId="21E69F03" w14:textId="77777777" w:rsidR="00FC03DC" w:rsidRDefault="00FC0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0916" w14:textId="04A2B8C0" w:rsidR="00072E9C" w:rsidRDefault="00226CD5">
    <w:pPr>
      <w:pStyle w:val="Header"/>
    </w:pPr>
    <w:r>
      <w:rPr>
        <w:noProof/>
      </w:rPr>
      <w:drawing>
        <wp:inline distT="0" distB="0" distL="0" distR="0" wp14:anchorId="3B095CC7" wp14:editId="757F6F69">
          <wp:extent cx="135128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_Logo_FullColor_RGB.png"/>
                  <pic:cNvPicPr/>
                </pic:nvPicPr>
                <pic:blipFill rotWithShape="1">
                  <a:blip r:embed="rId1" cstate="print">
                    <a:extLst>
                      <a:ext uri="{28A0092B-C50C-407E-A947-70E740481C1C}">
                        <a14:useLocalDpi xmlns:a14="http://schemas.microsoft.com/office/drawing/2010/main" val="0"/>
                      </a:ext>
                    </a:extLst>
                  </a:blip>
                  <a:srcRect t="13144" b="15143"/>
                  <a:stretch/>
                </pic:blipFill>
                <pic:spPr bwMode="auto">
                  <a:xfrm>
                    <a:off x="0" y="0"/>
                    <a:ext cx="1370649" cy="38646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1964323" wp14:editId="2E49FA1D">
          <wp:extent cx="945868" cy="38036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isel_horiz.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6380" cy="384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9C7"/>
    <w:multiLevelType w:val="hybridMultilevel"/>
    <w:tmpl w:val="A30CA5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E680E"/>
    <w:multiLevelType w:val="hybridMultilevel"/>
    <w:tmpl w:val="DD826FE8"/>
    <w:lvl w:ilvl="0" w:tplc="81DAF006">
      <w:start w:val="1"/>
      <w:numFmt w:val="decimal"/>
      <w:pStyle w:val="4PSU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F7096D"/>
    <w:multiLevelType w:val="hybridMultilevel"/>
    <w:tmpl w:val="43186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715F6C"/>
    <w:multiLevelType w:val="hybridMultilevel"/>
    <w:tmpl w:val="7F2A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65583"/>
    <w:multiLevelType w:val="hybridMultilevel"/>
    <w:tmpl w:val="F482A1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345DA"/>
    <w:multiLevelType w:val="hybridMultilevel"/>
    <w:tmpl w:val="1BD4154C"/>
    <w:lvl w:ilvl="0" w:tplc="60224C9C">
      <w:start w:val="1"/>
      <w:numFmt w:val="bullet"/>
      <w:pStyle w:val="5PSUbullets"/>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8E7F34"/>
    <w:multiLevelType w:val="hybridMultilevel"/>
    <w:tmpl w:val="EFCAA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D68DF"/>
    <w:multiLevelType w:val="multilevel"/>
    <w:tmpl w:val="FECEB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A0A70"/>
    <w:multiLevelType w:val="singleLevel"/>
    <w:tmpl w:val="5D8A0816"/>
    <w:lvl w:ilvl="0">
      <w:start w:val="1"/>
      <w:numFmt w:val="decimal"/>
      <w:lvlText w:val="%1."/>
      <w:lvlJc w:val="left"/>
      <w:pPr>
        <w:tabs>
          <w:tab w:val="num" w:pos="720"/>
        </w:tabs>
        <w:ind w:left="720" w:hanging="720"/>
      </w:pPr>
      <w:rPr>
        <w:rFonts w:hint="default"/>
      </w:rPr>
    </w:lvl>
  </w:abstractNum>
  <w:abstractNum w:abstractNumId="10" w15:restartNumberingAfterBreak="0">
    <w:nsid w:val="591F33D7"/>
    <w:multiLevelType w:val="multilevel"/>
    <w:tmpl w:val="599892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EB853C4"/>
    <w:multiLevelType w:val="hybridMultilevel"/>
    <w:tmpl w:val="A92C6D0E"/>
    <w:lvl w:ilvl="0" w:tplc="174067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DE0450"/>
    <w:multiLevelType w:val="hybridMultilevel"/>
    <w:tmpl w:val="34DC6E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2E3307"/>
    <w:multiLevelType w:val="hybridMultilevel"/>
    <w:tmpl w:val="E272D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1"/>
  </w:num>
  <w:num w:numId="4">
    <w:abstractNumId w:val="2"/>
  </w:num>
  <w:num w:numId="5">
    <w:abstractNumId w:val="7"/>
  </w:num>
  <w:num w:numId="6">
    <w:abstractNumId w:val="3"/>
  </w:num>
  <w:num w:numId="7">
    <w:abstractNumId w:val="13"/>
  </w:num>
  <w:num w:numId="8">
    <w:abstractNumId w:val="6"/>
  </w:num>
  <w:num w:numId="9">
    <w:abstractNumId w:val="12"/>
  </w:num>
  <w:num w:numId="10">
    <w:abstractNumId w:val="10"/>
  </w:num>
  <w:num w:numId="11">
    <w:abstractNumId w:val="1"/>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3PSUtext"/>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EC"/>
    <w:rsid w:val="000064EA"/>
    <w:rsid w:val="000144E3"/>
    <w:rsid w:val="00037A5F"/>
    <w:rsid w:val="00046AA8"/>
    <w:rsid w:val="00072E9C"/>
    <w:rsid w:val="000731A9"/>
    <w:rsid w:val="000736FA"/>
    <w:rsid w:val="00075B43"/>
    <w:rsid w:val="000A7740"/>
    <w:rsid w:val="000C5010"/>
    <w:rsid w:val="00196472"/>
    <w:rsid w:val="001D3B35"/>
    <w:rsid w:val="001F1ED7"/>
    <w:rsid w:val="001F7928"/>
    <w:rsid w:val="00211FAB"/>
    <w:rsid w:val="00225DD4"/>
    <w:rsid w:val="00226CD5"/>
    <w:rsid w:val="00243602"/>
    <w:rsid w:val="00272C7A"/>
    <w:rsid w:val="00274A7F"/>
    <w:rsid w:val="002C1D01"/>
    <w:rsid w:val="002C1F5F"/>
    <w:rsid w:val="002E76AA"/>
    <w:rsid w:val="002F0113"/>
    <w:rsid w:val="002F2422"/>
    <w:rsid w:val="002F33AC"/>
    <w:rsid w:val="00336805"/>
    <w:rsid w:val="00365E68"/>
    <w:rsid w:val="00381617"/>
    <w:rsid w:val="00383958"/>
    <w:rsid w:val="003A2BBE"/>
    <w:rsid w:val="003C3118"/>
    <w:rsid w:val="003D0E08"/>
    <w:rsid w:val="0040384B"/>
    <w:rsid w:val="004125CB"/>
    <w:rsid w:val="00414541"/>
    <w:rsid w:val="004435BC"/>
    <w:rsid w:val="0045310D"/>
    <w:rsid w:val="004737EA"/>
    <w:rsid w:val="004A32AC"/>
    <w:rsid w:val="004F789C"/>
    <w:rsid w:val="005059F6"/>
    <w:rsid w:val="00517972"/>
    <w:rsid w:val="00517F08"/>
    <w:rsid w:val="00563671"/>
    <w:rsid w:val="00586EF1"/>
    <w:rsid w:val="005D4319"/>
    <w:rsid w:val="005E4F96"/>
    <w:rsid w:val="005F7AA8"/>
    <w:rsid w:val="0060748C"/>
    <w:rsid w:val="00645677"/>
    <w:rsid w:val="00683317"/>
    <w:rsid w:val="006974EE"/>
    <w:rsid w:val="006C570F"/>
    <w:rsid w:val="006D2982"/>
    <w:rsid w:val="006E30A1"/>
    <w:rsid w:val="00700BBD"/>
    <w:rsid w:val="007522C9"/>
    <w:rsid w:val="00757618"/>
    <w:rsid w:val="007721B3"/>
    <w:rsid w:val="00782AC6"/>
    <w:rsid w:val="007B4F14"/>
    <w:rsid w:val="007D1E71"/>
    <w:rsid w:val="007D7F78"/>
    <w:rsid w:val="007E7B2C"/>
    <w:rsid w:val="0085766B"/>
    <w:rsid w:val="00875EEC"/>
    <w:rsid w:val="00886956"/>
    <w:rsid w:val="00890F66"/>
    <w:rsid w:val="00895BF6"/>
    <w:rsid w:val="008E5C4A"/>
    <w:rsid w:val="00915E51"/>
    <w:rsid w:val="00970C20"/>
    <w:rsid w:val="00971CCF"/>
    <w:rsid w:val="0098644A"/>
    <w:rsid w:val="009B65A3"/>
    <w:rsid w:val="009D1834"/>
    <w:rsid w:val="00A153F5"/>
    <w:rsid w:val="00A41A65"/>
    <w:rsid w:val="00A559AC"/>
    <w:rsid w:val="00A81FEA"/>
    <w:rsid w:val="00A97607"/>
    <w:rsid w:val="00AA19B1"/>
    <w:rsid w:val="00AA4E52"/>
    <w:rsid w:val="00AD6379"/>
    <w:rsid w:val="00AD6461"/>
    <w:rsid w:val="00AF7A15"/>
    <w:rsid w:val="00B0393B"/>
    <w:rsid w:val="00B32615"/>
    <w:rsid w:val="00B43CC6"/>
    <w:rsid w:val="00B45C13"/>
    <w:rsid w:val="00B84BB3"/>
    <w:rsid w:val="00B90493"/>
    <w:rsid w:val="00B94478"/>
    <w:rsid w:val="00BA0643"/>
    <w:rsid w:val="00BC3796"/>
    <w:rsid w:val="00BC6569"/>
    <w:rsid w:val="00BD7FFC"/>
    <w:rsid w:val="00C24009"/>
    <w:rsid w:val="00C32B04"/>
    <w:rsid w:val="00C365D7"/>
    <w:rsid w:val="00C605AF"/>
    <w:rsid w:val="00C649C3"/>
    <w:rsid w:val="00C7610E"/>
    <w:rsid w:val="00C814F9"/>
    <w:rsid w:val="00C90991"/>
    <w:rsid w:val="00CA5BA3"/>
    <w:rsid w:val="00CB6548"/>
    <w:rsid w:val="00CC3AE5"/>
    <w:rsid w:val="00CF4677"/>
    <w:rsid w:val="00D12C79"/>
    <w:rsid w:val="00D26E4B"/>
    <w:rsid w:val="00D41723"/>
    <w:rsid w:val="00D457A4"/>
    <w:rsid w:val="00D64019"/>
    <w:rsid w:val="00DB7157"/>
    <w:rsid w:val="00E42F84"/>
    <w:rsid w:val="00E5693E"/>
    <w:rsid w:val="00E56EF6"/>
    <w:rsid w:val="00E7062B"/>
    <w:rsid w:val="00E71322"/>
    <w:rsid w:val="00E94F0A"/>
    <w:rsid w:val="00EB564B"/>
    <w:rsid w:val="00EB6FCB"/>
    <w:rsid w:val="00ED29BC"/>
    <w:rsid w:val="00F16720"/>
    <w:rsid w:val="00F41C79"/>
    <w:rsid w:val="00F54EB7"/>
    <w:rsid w:val="00F715BB"/>
    <w:rsid w:val="00F76643"/>
    <w:rsid w:val="00FC03DC"/>
    <w:rsid w:val="00FD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C464B"/>
  <w15:docId w15:val="{080C9C75-90C7-476F-9405-40C8AA17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720"/>
    <w:rPr>
      <w:sz w:val="22"/>
    </w:rPr>
  </w:style>
  <w:style w:type="paragraph" w:styleId="Heading1">
    <w:name w:val="heading 1"/>
    <w:basedOn w:val="Normal"/>
    <w:next w:val="Normal"/>
    <w:qFormat/>
    <w:rsid w:val="00F16720"/>
    <w:pPr>
      <w:keepNext/>
      <w:jc w:val="center"/>
      <w:outlineLvl w:val="0"/>
    </w:pPr>
    <w:rPr>
      <w:b/>
    </w:rPr>
  </w:style>
  <w:style w:type="paragraph" w:styleId="Heading2">
    <w:name w:val="heading 2"/>
    <w:basedOn w:val="Normal"/>
    <w:next w:val="Normal"/>
    <w:qFormat/>
    <w:rsid w:val="00F16720"/>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16720"/>
    <w:rPr>
      <w:sz w:val="20"/>
    </w:rPr>
  </w:style>
  <w:style w:type="paragraph" w:styleId="ListBullet">
    <w:name w:val="List Bullet"/>
    <w:basedOn w:val="Normal"/>
    <w:autoRedefine/>
    <w:rsid w:val="00F16720"/>
    <w:pPr>
      <w:numPr>
        <w:numId w:val="1"/>
      </w:numPr>
    </w:pPr>
  </w:style>
  <w:style w:type="paragraph" w:customStyle="1" w:styleId="3PSUtext">
    <w:name w:val="3 PSU text"/>
    <w:basedOn w:val="Normal"/>
    <w:rsid w:val="00F16720"/>
    <w:pPr>
      <w:tabs>
        <w:tab w:val="left" w:pos="360"/>
      </w:tabs>
    </w:pPr>
    <w:rPr>
      <w:bCs/>
      <w:sz w:val="20"/>
    </w:rPr>
  </w:style>
  <w:style w:type="paragraph" w:customStyle="1" w:styleId="2PSUhead">
    <w:name w:val="2 PSU head"/>
    <w:basedOn w:val="3PSUtext"/>
    <w:next w:val="3PSUtext"/>
    <w:rsid w:val="00F16720"/>
    <w:pPr>
      <w:spacing w:before="180"/>
    </w:pPr>
    <w:rPr>
      <w:b/>
    </w:rPr>
  </w:style>
  <w:style w:type="paragraph" w:customStyle="1" w:styleId="4PSUnumbers">
    <w:name w:val="4 PSU numbers"/>
    <w:basedOn w:val="3PSUtext"/>
    <w:rsid w:val="00F16720"/>
    <w:pPr>
      <w:numPr>
        <w:numId w:val="4"/>
      </w:numPr>
      <w:tabs>
        <w:tab w:val="clear" w:pos="720"/>
      </w:tabs>
      <w:ind w:left="360" w:hanging="270"/>
    </w:pPr>
    <w:rPr>
      <w:bCs w:val="0"/>
    </w:rPr>
  </w:style>
  <w:style w:type="paragraph" w:customStyle="1" w:styleId="1PSUcapshead">
    <w:name w:val="1 PSU caps head"/>
    <w:basedOn w:val="2PSUhead"/>
    <w:next w:val="3PSUtext"/>
    <w:rsid w:val="00F16720"/>
    <w:rPr>
      <w:caps/>
    </w:rPr>
  </w:style>
  <w:style w:type="character" w:styleId="EndnoteReference">
    <w:name w:val="endnote reference"/>
    <w:basedOn w:val="DefaultParagraphFont"/>
    <w:semiHidden/>
    <w:rsid w:val="00F16720"/>
    <w:rPr>
      <w:vertAlign w:val="superscript"/>
    </w:rPr>
  </w:style>
  <w:style w:type="paragraph" w:styleId="FootnoteText">
    <w:name w:val="footnote text"/>
    <w:basedOn w:val="Normal"/>
    <w:semiHidden/>
    <w:rsid w:val="00F16720"/>
    <w:rPr>
      <w:sz w:val="16"/>
    </w:rPr>
  </w:style>
  <w:style w:type="character" w:styleId="FootnoteReference">
    <w:name w:val="footnote reference"/>
    <w:basedOn w:val="DefaultParagraphFont"/>
    <w:semiHidden/>
    <w:rsid w:val="00F16720"/>
    <w:rPr>
      <w:vertAlign w:val="superscript"/>
    </w:rPr>
  </w:style>
  <w:style w:type="paragraph" w:customStyle="1" w:styleId="5PSUbullets">
    <w:name w:val="5 PSU bullets"/>
    <w:basedOn w:val="4PSUnumbers"/>
    <w:rsid w:val="00F16720"/>
    <w:pPr>
      <w:numPr>
        <w:numId w:val="8"/>
      </w:numPr>
      <w:tabs>
        <w:tab w:val="clear" w:pos="720"/>
        <w:tab w:val="num" w:pos="360"/>
      </w:tabs>
      <w:ind w:left="360" w:hanging="270"/>
    </w:pPr>
  </w:style>
  <w:style w:type="paragraph" w:styleId="BalloonText">
    <w:name w:val="Balloon Text"/>
    <w:basedOn w:val="Normal"/>
    <w:link w:val="BalloonTextChar"/>
    <w:rsid w:val="00CF4677"/>
    <w:rPr>
      <w:rFonts w:ascii="Tahoma" w:hAnsi="Tahoma" w:cs="Tahoma"/>
      <w:sz w:val="16"/>
      <w:szCs w:val="16"/>
    </w:rPr>
  </w:style>
  <w:style w:type="character" w:customStyle="1" w:styleId="BalloonTextChar">
    <w:name w:val="Balloon Text Char"/>
    <w:basedOn w:val="DefaultParagraphFont"/>
    <w:link w:val="BalloonText"/>
    <w:rsid w:val="00CF4677"/>
    <w:rPr>
      <w:rFonts w:ascii="Tahoma" w:hAnsi="Tahoma" w:cs="Tahoma"/>
      <w:sz w:val="16"/>
      <w:szCs w:val="16"/>
    </w:rPr>
  </w:style>
  <w:style w:type="paragraph" w:styleId="Header">
    <w:name w:val="header"/>
    <w:basedOn w:val="Normal"/>
    <w:link w:val="HeaderChar"/>
    <w:unhideWhenUsed/>
    <w:rsid w:val="00365E68"/>
    <w:pPr>
      <w:tabs>
        <w:tab w:val="center" w:pos="4680"/>
        <w:tab w:val="right" w:pos="9360"/>
      </w:tabs>
    </w:pPr>
  </w:style>
  <w:style w:type="character" w:customStyle="1" w:styleId="HeaderChar">
    <w:name w:val="Header Char"/>
    <w:basedOn w:val="DefaultParagraphFont"/>
    <w:link w:val="Header"/>
    <w:rsid w:val="00365E68"/>
    <w:rPr>
      <w:sz w:val="22"/>
    </w:rPr>
  </w:style>
  <w:style w:type="paragraph" w:styleId="Footer">
    <w:name w:val="footer"/>
    <w:basedOn w:val="Normal"/>
    <w:link w:val="FooterChar"/>
    <w:unhideWhenUsed/>
    <w:rsid w:val="00365E68"/>
    <w:pPr>
      <w:tabs>
        <w:tab w:val="center" w:pos="4680"/>
        <w:tab w:val="right" w:pos="9360"/>
      </w:tabs>
    </w:pPr>
  </w:style>
  <w:style w:type="character" w:customStyle="1" w:styleId="FooterChar">
    <w:name w:val="Footer Char"/>
    <w:basedOn w:val="DefaultParagraphFont"/>
    <w:link w:val="Footer"/>
    <w:rsid w:val="00365E68"/>
    <w:rPr>
      <w:sz w:val="22"/>
    </w:rPr>
  </w:style>
  <w:style w:type="paragraph" w:styleId="NormalWeb">
    <w:name w:val="Normal (Web)"/>
    <w:basedOn w:val="Normal"/>
    <w:uiPriority w:val="99"/>
    <w:semiHidden/>
    <w:unhideWhenUsed/>
    <w:rsid w:val="00243602"/>
    <w:rPr>
      <w:rFonts w:eastAsiaTheme="minorHAnsi"/>
      <w:sz w:val="24"/>
      <w:szCs w:val="24"/>
    </w:rPr>
  </w:style>
  <w:style w:type="paragraph" w:styleId="ListParagraph">
    <w:name w:val="List Paragraph"/>
    <w:basedOn w:val="Normal"/>
    <w:uiPriority w:val="34"/>
    <w:qFormat/>
    <w:rsid w:val="00B32615"/>
    <w:pPr>
      <w:ind w:left="720"/>
      <w:contextualSpacing/>
    </w:pPr>
  </w:style>
  <w:style w:type="table" w:styleId="TableGrid">
    <w:name w:val="Table Grid"/>
    <w:basedOn w:val="TableNormal"/>
    <w:rsid w:val="00AF7A15"/>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64019"/>
    <w:rPr>
      <w:color w:val="0000FF" w:themeColor="hyperlink"/>
      <w:u w:val="single"/>
    </w:rPr>
  </w:style>
  <w:style w:type="character" w:styleId="FollowedHyperlink">
    <w:name w:val="FollowedHyperlink"/>
    <w:basedOn w:val="DefaultParagraphFont"/>
    <w:semiHidden/>
    <w:unhideWhenUsed/>
    <w:rsid w:val="00C649C3"/>
    <w:rPr>
      <w:color w:val="800080" w:themeColor="followedHyperlink"/>
      <w:u w:val="single"/>
    </w:rPr>
  </w:style>
  <w:style w:type="character" w:styleId="CommentReference">
    <w:name w:val="annotation reference"/>
    <w:basedOn w:val="DefaultParagraphFont"/>
    <w:semiHidden/>
    <w:unhideWhenUsed/>
    <w:rsid w:val="00890F66"/>
    <w:rPr>
      <w:sz w:val="16"/>
      <w:szCs w:val="16"/>
    </w:rPr>
  </w:style>
  <w:style w:type="paragraph" w:styleId="CommentText">
    <w:name w:val="annotation text"/>
    <w:basedOn w:val="Normal"/>
    <w:link w:val="CommentTextChar"/>
    <w:semiHidden/>
    <w:unhideWhenUsed/>
    <w:rsid w:val="00890F66"/>
    <w:rPr>
      <w:sz w:val="20"/>
    </w:rPr>
  </w:style>
  <w:style w:type="character" w:customStyle="1" w:styleId="CommentTextChar">
    <w:name w:val="Comment Text Char"/>
    <w:basedOn w:val="DefaultParagraphFont"/>
    <w:link w:val="CommentText"/>
    <w:semiHidden/>
    <w:rsid w:val="00890F66"/>
  </w:style>
  <w:style w:type="paragraph" w:styleId="CommentSubject">
    <w:name w:val="annotation subject"/>
    <w:basedOn w:val="CommentText"/>
    <w:next w:val="CommentText"/>
    <w:link w:val="CommentSubjectChar"/>
    <w:semiHidden/>
    <w:unhideWhenUsed/>
    <w:rsid w:val="00890F66"/>
    <w:rPr>
      <w:b/>
      <w:bCs/>
    </w:rPr>
  </w:style>
  <w:style w:type="character" w:customStyle="1" w:styleId="CommentSubjectChar">
    <w:name w:val="Comment Subject Char"/>
    <w:basedOn w:val="CommentTextChar"/>
    <w:link w:val="CommentSubject"/>
    <w:semiHidden/>
    <w:rsid w:val="00890F66"/>
    <w:rPr>
      <w:b/>
      <w:bCs/>
    </w:rPr>
  </w:style>
  <w:style w:type="paragraph" w:styleId="Revision">
    <w:name w:val="Revision"/>
    <w:hidden/>
    <w:uiPriority w:val="99"/>
    <w:semiHidden/>
    <w:rsid w:val="009864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11558">
      <w:bodyDiv w:val="1"/>
      <w:marLeft w:val="0"/>
      <w:marRight w:val="0"/>
      <w:marTop w:val="0"/>
      <w:marBottom w:val="0"/>
      <w:divBdr>
        <w:top w:val="none" w:sz="0" w:space="0" w:color="auto"/>
        <w:left w:val="none" w:sz="0" w:space="0" w:color="auto"/>
        <w:bottom w:val="none" w:sz="0" w:space="0" w:color="auto"/>
        <w:right w:val="none" w:sz="0" w:space="0" w:color="auto"/>
      </w:divBdr>
    </w:div>
    <w:div w:id="1133712416">
      <w:bodyDiv w:val="1"/>
      <w:marLeft w:val="0"/>
      <w:marRight w:val="0"/>
      <w:marTop w:val="0"/>
      <w:marBottom w:val="0"/>
      <w:divBdr>
        <w:top w:val="none" w:sz="0" w:space="0" w:color="auto"/>
        <w:left w:val="none" w:sz="0" w:space="0" w:color="auto"/>
        <w:bottom w:val="none" w:sz="0" w:space="0" w:color="auto"/>
        <w:right w:val="none" w:sz="0" w:space="0" w:color="auto"/>
      </w:divBdr>
    </w:div>
    <w:div w:id="1632781233">
      <w:bodyDiv w:val="1"/>
      <w:marLeft w:val="0"/>
      <w:marRight w:val="0"/>
      <w:marTop w:val="0"/>
      <w:marBottom w:val="0"/>
      <w:divBdr>
        <w:top w:val="none" w:sz="0" w:space="0" w:color="auto"/>
        <w:left w:val="none" w:sz="0" w:space="0" w:color="auto"/>
        <w:bottom w:val="none" w:sz="0" w:space="0" w:color="auto"/>
        <w:right w:val="none" w:sz="0" w:space="0" w:color="auto"/>
      </w:divBdr>
    </w:div>
    <w:div w:id="20855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cme.org/accreditation-rules/standards-for-integrity-independence-accredited-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0DE36-581A-4678-9DF5-30742721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Penn State Cont. Ed.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Lott</dc:creator>
  <cp:lastModifiedBy>Jody L. Bradford</cp:lastModifiedBy>
  <cp:revision>4</cp:revision>
  <cp:lastPrinted>2021-03-26T14:16:00Z</cp:lastPrinted>
  <dcterms:created xsi:type="dcterms:W3CDTF">2022-09-01T13:28:00Z</dcterms:created>
  <dcterms:modified xsi:type="dcterms:W3CDTF">2022-09-09T13:02:00Z</dcterms:modified>
</cp:coreProperties>
</file>